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firstLine="0" w:firstLineChars="0"/>
        <w:jc w:val="center"/>
        <w:rPr>
          <w:rFonts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rPr>
        <w:t>资源环境</w:t>
      </w:r>
      <w:r>
        <w:rPr>
          <w:rFonts w:asciiTheme="minorEastAsia" w:hAnsiTheme="minorEastAsia" w:eastAsiaTheme="minorEastAsia"/>
          <w:b/>
          <w:bCs/>
          <w:color w:val="000000" w:themeColor="text1"/>
          <w:sz w:val="32"/>
          <w:szCs w:val="32"/>
        </w:rPr>
        <w:t>与安全</w:t>
      </w:r>
      <w:r>
        <w:rPr>
          <w:rFonts w:hint="eastAsia" w:asciiTheme="minorEastAsia" w:hAnsiTheme="minorEastAsia" w:eastAsiaTheme="minorEastAsia"/>
          <w:b/>
          <w:bCs/>
          <w:color w:val="000000" w:themeColor="text1"/>
          <w:sz w:val="32"/>
          <w:szCs w:val="32"/>
        </w:rPr>
        <w:t>大类安全类</w:t>
      </w:r>
    </w:p>
    <w:p>
      <w:pPr>
        <w:spacing w:afterLines="50"/>
        <w:ind w:firstLine="0" w:firstLineChars="0"/>
        <w:jc w:val="center"/>
        <w:rPr>
          <w:rFonts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rPr>
        <w:t>安全技术</w:t>
      </w:r>
      <w:r>
        <w:rPr>
          <w:rFonts w:asciiTheme="minorEastAsia" w:hAnsiTheme="minorEastAsia" w:eastAsiaTheme="minorEastAsia"/>
          <w:b/>
          <w:bCs/>
          <w:color w:val="000000" w:themeColor="text1"/>
          <w:sz w:val="32"/>
          <w:szCs w:val="32"/>
        </w:rPr>
        <w:t>与管理</w:t>
      </w:r>
      <w:r>
        <w:rPr>
          <w:rFonts w:hint="eastAsia" w:asciiTheme="minorEastAsia" w:hAnsiTheme="minorEastAsia" w:eastAsiaTheme="minorEastAsia"/>
          <w:b/>
          <w:bCs/>
          <w:color w:val="000000" w:themeColor="text1"/>
          <w:sz w:val="32"/>
          <w:szCs w:val="32"/>
        </w:rPr>
        <w:t>（专科）专业可行性论证报告</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both"/>
        <w:textAlignment w:val="auto"/>
        <w:outlineLvl w:val="9"/>
        <w:rPr>
          <w:rFonts w:hint="eastAsia"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国家开放大学西安分部拟于2016年秋季开设开放教育助力计划《安全技术与管理》（专科）专业，经过近一年时间的调研及筹备形成如下论证报告：</w:t>
      </w:r>
    </w:p>
    <w:p>
      <w:pPr>
        <w:pStyle w:val="14"/>
        <w:pageBreakBefore w:val="0"/>
        <w:widowControl w:val="0"/>
        <w:kinsoku/>
        <w:wordWrap/>
        <w:overflowPunct/>
        <w:topLinePunct w:val="0"/>
        <w:autoSpaceDE/>
        <w:autoSpaceDN/>
        <w:bidi w:val="0"/>
        <w:spacing w:beforeLines="100" w:afterLines="100" w:line="360" w:lineRule="auto"/>
        <w:ind w:left="0" w:leftChars="0" w:right="0" w:rightChars="0" w:firstLine="482"/>
        <w:textAlignment w:val="auto"/>
        <w:rPr>
          <w:rFonts w:asciiTheme="minorEastAsia" w:hAnsiTheme="minorEastAsia" w:eastAsiaTheme="minorEastAsia"/>
          <w:sz w:val="24"/>
          <w:szCs w:val="24"/>
        </w:rPr>
      </w:pPr>
      <w:bookmarkStart w:id="0" w:name="_Toc454441791"/>
      <w:r>
        <w:rPr>
          <w:rFonts w:asciiTheme="minorEastAsia" w:hAnsiTheme="minorEastAsia" w:eastAsiaTheme="minorEastAsia"/>
          <w:sz w:val="24"/>
          <w:szCs w:val="24"/>
        </w:rPr>
        <w:t>一、专业人才的社会需求现状及生源预测</w:t>
      </w:r>
      <w:bookmarkEnd w:id="0"/>
    </w:p>
    <w:p>
      <w:pPr>
        <w:pStyle w:val="2"/>
        <w:pageBreakBefore w:val="0"/>
        <w:widowControl w:val="0"/>
        <w:kinsoku/>
        <w:wordWrap/>
        <w:overflowPunct/>
        <w:topLinePunct w:val="0"/>
        <w:autoSpaceDE/>
        <w:autoSpaceDN/>
        <w:bidi w:val="0"/>
        <w:spacing w:before="326" w:after="326" w:line="360" w:lineRule="auto"/>
        <w:ind w:left="0" w:leftChars="0" w:right="0" w:rightChars="0" w:firstLine="422"/>
        <w:textAlignment w:val="auto"/>
        <w:rPr>
          <w:rFonts w:asciiTheme="minorEastAsia" w:hAnsiTheme="minorEastAsia" w:eastAsiaTheme="minorEastAsia"/>
          <w:sz w:val="21"/>
          <w:szCs w:val="21"/>
        </w:rPr>
      </w:pPr>
      <w:bookmarkStart w:id="1" w:name="_Toc454441792"/>
      <w:r>
        <w:rPr>
          <w:rFonts w:asciiTheme="minorEastAsia" w:hAnsiTheme="minorEastAsia" w:eastAsiaTheme="minorEastAsia"/>
          <w:sz w:val="21"/>
          <w:szCs w:val="21"/>
        </w:rPr>
        <w:t>（一）宏观背景分析</w:t>
      </w:r>
      <w:bookmarkEnd w:id="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随着我国“一带一路”</w:t>
      </w:r>
      <w:r>
        <w:rPr>
          <w:rFonts w:hint="eastAsia" w:asciiTheme="minorEastAsia" w:hAnsiTheme="minorEastAsia" w:eastAsiaTheme="minorEastAsia"/>
          <w:sz w:val="21"/>
          <w:szCs w:val="21"/>
          <w:lang w:eastAsia="zh-CN"/>
        </w:rPr>
        <w:t>倡议</w:t>
      </w:r>
      <w:bookmarkStart w:id="118" w:name="_GoBack"/>
      <w:bookmarkEnd w:id="118"/>
      <w:r>
        <w:rPr>
          <w:rFonts w:hint="eastAsia" w:asciiTheme="minorEastAsia" w:hAnsiTheme="minorEastAsia" w:eastAsiaTheme="minorEastAsia"/>
          <w:sz w:val="21"/>
          <w:szCs w:val="21"/>
        </w:rPr>
        <w:t>思想的发展，西安市作为古代丝绸之路的起点，以“一带一路”建设为依托，大力发展西部政治、经济、文化中心的重要作用。在西安市政府的大力支持下，国家开放大学西安分部本着立足西安、服务西安社会经济发展的办学宗旨，突出办学特色，为西安市各行各业提供专业技能型人才。</w:t>
      </w:r>
      <w:r>
        <w:rPr>
          <w:rFonts w:asciiTheme="minorEastAsia" w:hAnsiTheme="minorEastAsia" w:eastAsiaTheme="minorEastAsia"/>
          <w:sz w:val="21"/>
          <w:szCs w:val="21"/>
        </w:rPr>
        <w:t>安全管理是随着安全科学技术和管理科学发展而发展，</w:t>
      </w:r>
      <w:r>
        <w:rPr>
          <w:rFonts w:hint="eastAsia" w:asciiTheme="minorEastAsia" w:hAnsiTheme="minorEastAsia" w:eastAsiaTheme="minorEastAsia"/>
          <w:sz w:val="21"/>
          <w:szCs w:val="21"/>
        </w:rPr>
        <w:t>随着</w:t>
      </w:r>
      <w:r>
        <w:rPr>
          <w:rFonts w:asciiTheme="minorEastAsia" w:hAnsiTheme="minorEastAsia" w:eastAsiaTheme="minorEastAsia"/>
          <w:sz w:val="21"/>
          <w:szCs w:val="21"/>
        </w:rPr>
        <w:t>系统安全工程原理和方法的出现，</w:t>
      </w:r>
      <w:r>
        <w:rPr>
          <w:rFonts w:hint="eastAsia" w:asciiTheme="minorEastAsia" w:hAnsiTheme="minorEastAsia" w:eastAsiaTheme="minorEastAsia"/>
          <w:sz w:val="21"/>
          <w:szCs w:val="21"/>
        </w:rPr>
        <w:t>使</w:t>
      </w:r>
      <w:r>
        <w:rPr>
          <w:rFonts w:asciiTheme="minorEastAsia" w:hAnsiTheme="minorEastAsia" w:eastAsiaTheme="minorEastAsia"/>
          <w:sz w:val="21"/>
          <w:szCs w:val="21"/>
        </w:rPr>
        <w:t>安全</w:t>
      </w:r>
      <w:r>
        <w:rPr>
          <w:rFonts w:hint="eastAsia" w:asciiTheme="minorEastAsia" w:hAnsiTheme="minorEastAsia" w:eastAsiaTheme="minorEastAsia"/>
          <w:sz w:val="21"/>
          <w:szCs w:val="21"/>
        </w:rPr>
        <w:t>技术与</w:t>
      </w:r>
      <w:r>
        <w:rPr>
          <w:rFonts w:asciiTheme="minorEastAsia" w:hAnsiTheme="minorEastAsia" w:eastAsiaTheme="minorEastAsia"/>
          <w:sz w:val="21"/>
          <w:szCs w:val="21"/>
        </w:rPr>
        <w:t>管理的内容、方法、原理都有了很大的拓展。</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近年来，西安市经济的快速增长，使人们的生活水平迅速提高，创造就业机会、改进工作条件、公平分配国民生产总值等问题，引起了越来越多经济学家、管理学家、安全工程专家和政治家的注意。工人强烈要求不仅要有工作机会，还要有安全与健康的工作环境。一些工业化国家，进一步加强了安全生产法律法规体系建设，在安全生产方面投入大量的资金进行科学研究，产生了一些安全技术管理原理、事故致因理论和事故预防原理等风险管理理论，以系统安全理论为核心的现代安全管理方法、模式、思想、理论基本形成。</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随着现代制造业和航空航天技术的飞跃发展，人们对职业安全卫生问题的认识也发生了很大变化，安全生产成本、环境成本等成为产品成本的重要组成部分，职业安全卫生问题成为非官方贸易壁垒的利器。在这种背景下，“持续改进”、“以人为本”的安全健康管理理念逐渐被企业管理者所接受，以职业安全健康管理体系为代表的企业安全生产风险管理思想开始形成，现代安全技术管理的内容更加丰富，现代安全技术管理理论、方法、模式以及相应的标准、规范更加成熟。</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现代安全技术管理理论、方法、模式是20世纪五十年代进入我国的，在20世纪六七十年代，我国开始吸收并研究事故致因理论、事故预防理论和现代安全技术管理思想。20世纪八九十年代，开始研究企业安全生产风险评价、危险源辨识和监控，一些企业管理者开始尝试安全生产风险管理。在20世纪末，我国几乎与世界工业化国家同步，研究并推行了职业健康安全管理体系。进入21世纪以来，我国有些学者提出了系统化的企业安全生产风险管理的理论雏形，认为企业安全技术管理是风险管理，管理的内容包括：危险源辨识、风险评价、危险预警与监测管理、事故预防与风险控制管理以及应急管理，该理论将现代风险管理完全融入到了安全技术管理之中。</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从宏观理论上讲，人类针对安全生产的基本措施有3条，称为3大对策，即工程技术对策、教育对策和管理对策。要实现安全生产的3大对策，不得不需要大量的安全工程技术人员。</w:t>
      </w:r>
    </w:p>
    <w:p>
      <w:pPr>
        <w:pStyle w:val="2"/>
        <w:pageBreakBefore w:val="0"/>
        <w:widowControl w:val="0"/>
        <w:kinsoku/>
        <w:wordWrap/>
        <w:overflowPunct/>
        <w:topLinePunct w:val="0"/>
        <w:autoSpaceDE/>
        <w:autoSpaceDN/>
        <w:bidi w:val="0"/>
        <w:spacing w:before="326" w:after="326" w:line="360" w:lineRule="auto"/>
        <w:ind w:left="0" w:leftChars="0" w:right="0" w:rightChars="0" w:firstLine="422"/>
        <w:textAlignment w:val="auto"/>
        <w:rPr>
          <w:rFonts w:asciiTheme="minorEastAsia" w:hAnsiTheme="minorEastAsia" w:eastAsiaTheme="minorEastAsia"/>
          <w:sz w:val="21"/>
          <w:szCs w:val="21"/>
        </w:rPr>
      </w:pPr>
      <w:bookmarkStart w:id="2" w:name="_Toc454441793"/>
      <w:r>
        <w:rPr>
          <w:rFonts w:asciiTheme="minorEastAsia" w:hAnsiTheme="minorEastAsia" w:eastAsiaTheme="minorEastAsia"/>
          <w:sz w:val="21"/>
          <w:szCs w:val="21"/>
        </w:rPr>
        <w:t>（二）人才需求背景分析</w:t>
      </w:r>
      <w:bookmarkEnd w:id="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随着国家《安全生产法》的颁布，提高我国安全技术管理人才队伍整体素质和业务能力，提升安全技术管理人员学历水平，开展安全技术管理人才素质提升计划，为安全生产提供专业的人才支撑，成为国家中长期人才发展规划的一项重要内容。安全技术与管理专业已成为近年来高校的热门专业，我国高校的安全技术与管理专业正处于高速发展时期，未来数年我国安全技术与管理专业的毕业生将会有大幅度增加，能逐渐满足社会对安全技术管理人员的需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专业人才的就业机会在很大程度上依赖于国家安监部门对企业或组织落实《安全生产法》的力度，在国家安监部门的大力支持下，高校的安全技术管理专业将会得到良性发展。高校安全技术管理专业人才的培养方案和模式需要进一步改革和完善，以便适应安全工程师的要求，适应安全人才市场的需要。安全学科自身还需要有很大的发展，办好安全专业还任重道远。国家职能部门未来将会对高校安全生产专业的办学加以扶植、引导和规划，并加大学科建设经费的投入。安全科学技术的社会效益和经济效益十分显著。未来将有一大批安全技术管理专业的高级人才走进社会，他们必将在各行各业中占有一席之地。由于他们毕业于安全专业，拥有丰富的安全知识，在工作中必将更重视安全，安全学科将进一步得到发展，整个社会的安全水平也必将随之提高。</w:t>
      </w:r>
    </w:p>
    <w:p>
      <w:pPr>
        <w:pStyle w:val="2"/>
        <w:pageBreakBefore w:val="0"/>
        <w:widowControl w:val="0"/>
        <w:kinsoku/>
        <w:wordWrap/>
        <w:overflowPunct/>
        <w:topLinePunct w:val="0"/>
        <w:autoSpaceDE/>
        <w:autoSpaceDN/>
        <w:bidi w:val="0"/>
        <w:spacing w:before="326" w:after="326" w:line="360" w:lineRule="auto"/>
        <w:ind w:left="0" w:leftChars="0" w:right="0" w:rightChars="0" w:firstLine="422"/>
        <w:textAlignment w:val="auto"/>
        <w:rPr>
          <w:rFonts w:asciiTheme="minorEastAsia" w:hAnsiTheme="minorEastAsia" w:eastAsiaTheme="minorEastAsia"/>
          <w:sz w:val="21"/>
          <w:szCs w:val="21"/>
        </w:rPr>
      </w:pPr>
      <w:bookmarkStart w:id="3" w:name="_Toc454441794"/>
      <w:r>
        <w:rPr>
          <w:rFonts w:hint="eastAsia" w:asciiTheme="minorEastAsia" w:hAnsiTheme="minorEastAsia" w:eastAsiaTheme="minorEastAsia"/>
          <w:sz w:val="21"/>
          <w:szCs w:val="21"/>
        </w:rPr>
        <w:t>（三</w:t>
      </w:r>
      <w:r>
        <w:rPr>
          <w:rFonts w:asciiTheme="minorEastAsia" w:hAnsiTheme="minorEastAsia" w:eastAsiaTheme="minorEastAsia"/>
          <w:sz w:val="21"/>
          <w:szCs w:val="21"/>
        </w:rPr>
        <w:t>）</w:t>
      </w:r>
      <w:r>
        <w:rPr>
          <w:rFonts w:hint="eastAsia" w:asciiTheme="minorEastAsia" w:hAnsiTheme="minorEastAsia" w:eastAsiaTheme="minorEastAsia"/>
          <w:sz w:val="21"/>
          <w:szCs w:val="21"/>
        </w:rPr>
        <w:t>国内该专业教育的举办情况</w:t>
      </w:r>
      <w:bookmarkEnd w:id="3"/>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从开办此专业的学校来看，重点大学并不多，大约占10%左右，且安全工程、安全管理专业办得很好的高校就更少了，在招生和教学中基本上是以大类的形式组织招生和教学，随着安全工程技术的发展，这类学校在培养人才方面更注重专业深度和未来学科的发展。</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安全技术管理作为一个综合性专业，在专业方面自然会受母系专业的影响，因此在教学内容方面各学校也存在着很大的差别，各学校培养出来的学生的能力和知识结构是不一样的，甚至存在很大的差异。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工程学科自身的属性和发展过程所存在的局限性使其面临诸多挑战。目前我国的物质财富还不是十分丰富，而且人口众多，人们的自护意识和安全文化还不高，许多安全问题及其防患意识在许多人的心目中仍是可有可无的事。国家、社会、个人对安全投入的资金相对还极少。因此，更应该加强安全专业的办学力度。</w:t>
      </w:r>
    </w:p>
    <w:p>
      <w:pPr>
        <w:pStyle w:val="2"/>
        <w:pageBreakBefore w:val="0"/>
        <w:widowControl w:val="0"/>
        <w:kinsoku/>
        <w:wordWrap/>
        <w:overflowPunct/>
        <w:topLinePunct w:val="0"/>
        <w:autoSpaceDE/>
        <w:autoSpaceDN/>
        <w:bidi w:val="0"/>
        <w:spacing w:before="326" w:after="326" w:line="360" w:lineRule="auto"/>
        <w:ind w:left="0" w:leftChars="0" w:right="0" w:rightChars="0" w:firstLine="422"/>
        <w:textAlignment w:val="auto"/>
        <w:rPr>
          <w:rFonts w:asciiTheme="minorEastAsia" w:hAnsiTheme="minorEastAsia" w:eastAsiaTheme="minorEastAsia"/>
          <w:sz w:val="21"/>
          <w:szCs w:val="21"/>
        </w:rPr>
      </w:pPr>
      <w:bookmarkStart w:id="4" w:name="_Toc454441795"/>
      <w:r>
        <w:rPr>
          <w:rFonts w:hint="eastAsia" w:asciiTheme="minorEastAsia" w:hAnsiTheme="minorEastAsia" w:eastAsiaTheme="minorEastAsia"/>
          <w:sz w:val="21"/>
          <w:szCs w:val="21"/>
        </w:rPr>
        <w:t>（四）安全技术与管理专业发展</w:t>
      </w:r>
      <w:r>
        <w:rPr>
          <w:rFonts w:asciiTheme="minorEastAsia" w:hAnsiTheme="minorEastAsia" w:eastAsiaTheme="minorEastAsia"/>
          <w:sz w:val="21"/>
          <w:szCs w:val="21"/>
        </w:rPr>
        <w:t>趋势</w:t>
      </w:r>
      <w:bookmarkEnd w:id="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2004年，我国开办安全工程本科专业并在教育部备案的高校有68所，其中大多数高校的安全工程专业是新开办的，近4年申办安全工程专业的高校有40所，比2000年以前的总和都多，其增长速度极快。其特点是：</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1．目前我国已有11所高校有安全技术及工程博士学位授予权，有32所高校有硕士学位授予权（不含科研院所），大多数开办安全工程专业的高校为普通院校；</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2．从地区分布来看，较发达的地区开办安全工程专业的高校较多，说明这些地区更需要和更重视安全工程人才；</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3．开办安全工程专业的高等院校的类型很多，有军工、化工、石油、矿业、土木、交通、能源、环境、经济等，证明安全学科是一个涉及面极广的综合交叉科学；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4．2004年全国安全工程专业本科生招生人数接近3500名。</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由于全国许多高校的安全技术管理专业刚刚开办，在当前的形势下，安全工程专业的毕业生就业形势普遍较好，就业率较高。未来数年我国高校安全技术管理专业毕业生将达到4000名以上的规模。安全技术管理专业人才有巨大的市场需求，即使安全管理专业的毕业生有大幅度增加，也应该是处于供不应求的状况，因为全国300人以上的高危企业数量巨大。</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我国企业或组织对安全技术管理专业人才的需求途径却有多条。我国各行业中从事安全工作的人员大多数来自其他专业，这种趋势还要持续相当长的时间。其原因主要是：</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第一，许多企业或组织的领导还不知道《安全生产法》的许多规定，一些知道有关规定的企业或组织也没有切实落实《安全生产法》，特别是偏远地区的中小型企业。</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由于我国经济、技术总体水平还比较低，人口众多，人们的安全文化素质不高，职业安全卫生法制建设比较薄弱，管理监察体制不够健全，安全死角很多。大多数应该设置安全工程师岗位的企业或组织还没有设置该岗位，甚至许多企业或组织还不知道有安全工程专业，不懂得设置安全工程岗位的必要性。</w:t>
      </w:r>
    </w:p>
    <w:p>
      <w:pPr>
        <w:pStyle w:val="14"/>
        <w:pageBreakBefore w:val="0"/>
        <w:widowControl w:val="0"/>
        <w:kinsoku/>
        <w:wordWrap/>
        <w:overflowPunct/>
        <w:topLinePunct w:val="0"/>
        <w:autoSpaceDE/>
        <w:autoSpaceDN/>
        <w:bidi w:val="0"/>
        <w:spacing w:beforeLines="100" w:afterLines="100" w:line="360" w:lineRule="auto"/>
        <w:ind w:left="0" w:leftChars="0" w:right="0" w:rightChars="0" w:firstLine="482"/>
        <w:textAlignment w:val="auto"/>
        <w:rPr>
          <w:rFonts w:asciiTheme="minorEastAsia" w:hAnsiTheme="minorEastAsia" w:eastAsiaTheme="minorEastAsia"/>
          <w:sz w:val="24"/>
          <w:szCs w:val="24"/>
        </w:rPr>
      </w:pPr>
      <w:bookmarkStart w:id="5" w:name="_Toc454441796"/>
      <w:r>
        <w:rPr>
          <w:rFonts w:asciiTheme="minorEastAsia" w:hAnsiTheme="minorEastAsia" w:eastAsiaTheme="minorEastAsia"/>
          <w:sz w:val="24"/>
          <w:szCs w:val="24"/>
        </w:rPr>
        <w:t>二、开设</w:t>
      </w:r>
      <w:r>
        <w:rPr>
          <w:rFonts w:hint="eastAsia" w:asciiTheme="minorEastAsia" w:hAnsiTheme="minorEastAsia" w:eastAsiaTheme="minorEastAsia"/>
          <w:sz w:val="24"/>
          <w:szCs w:val="24"/>
        </w:rPr>
        <w:t>《安全技术</w:t>
      </w:r>
      <w:r>
        <w:rPr>
          <w:rFonts w:asciiTheme="minorEastAsia" w:hAnsiTheme="minorEastAsia" w:eastAsiaTheme="minorEastAsia"/>
          <w:sz w:val="24"/>
          <w:szCs w:val="24"/>
        </w:rPr>
        <w:t>与管理</w:t>
      </w:r>
      <w:r>
        <w:rPr>
          <w:rFonts w:hint="eastAsia" w:asciiTheme="minorEastAsia" w:hAnsiTheme="minorEastAsia" w:eastAsiaTheme="minorEastAsia"/>
          <w:sz w:val="24"/>
          <w:szCs w:val="24"/>
        </w:rPr>
        <w:t>》</w:t>
      </w:r>
      <w:r>
        <w:rPr>
          <w:rFonts w:asciiTheme="minorEastAsia" w:hAnsiTheme="minorEastAsia" w:eastAsiaTheme="minorEastAsia"/>
          <w:sz w:val="24"/>
          <w:szCs w:val="24"/>
        </w:rPr>
        <w:t>（专科）专业的</w:t>
      </w:r>
      <w:r>
        <w:rPr>
          <w:rFonts w:hint="eastAsia" w:asciiTheme="minorEastAsia" w:hAnsiTheme="minorEastAsia" w:eastAsiaTheme="minorEastAsia"/>
          <w:sz w:val="24"/>
          <w:szCs w:val="24"/>
        </w:rPr>
        <w:t>可行性</w:t>
      </w:r>
      <w:r>
        <w:rPr>
          <w:rFonts w:asciiTheme="minorEastAsia" w:hAnsiTheme="minorEastAsia" w:eastAsiaTheme="minorEastAsia"/>
          <w:sz w:val="24"/>
          <w:szCs w:val="24"/>
        </w:rPr>
        <w:t>分析</w:t>
      </w:r>
      <w:bookmarkEnd w:id="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当前，国家、社会对企业安全技术管理的要求逐渐提高，各生产企业也对安全生产工作愈加重视，安全技术管理人才需求很大。目前陕西省范围内仅有极少数的本专科院校开设这类专业，每年毕业学生数量也非常少，陕西省的各级政府机关和企业很难招收到安全技术管理类人才。本着填补安全技术管理人才空白，往本地企业输送专业管理人员的初衷，更为了充实、提高企业安管员队伍素质，促进安全生产工作。</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安全技术管理专业技术人员的培养过程对于学员的基础知识要求不高，《安全技术与管理》（专科）专业的课程更加贴近实际的操作和应用，课程设置更适合基础相对薄弱的学生去理解和掌握。</w:t>
      </w:r>
    </w:p>
    <w:p>
      <w:pPr>
        <w:pStyle w:val="2"/>
        <w:pageBreakBefore w:val="0"/>
        <w:widowControl w:val="0"/>
        <w:kinsoku/>
        <w:wordWrap/>
        <w:overflowPunct/>
        <w:topLinePunct w:val="0"/>
        <w:autoSpaceDE/>
        <w:autoSpaceDN/>
        <w:bidi w:val="0"/>
        <w:spacing w:before="326" w:after="326" w:line="360" w:lineRule="auto"/>
        <w:ind w:left="0" w:leftChars="0" w:right="0" w:rightChars="0" w:firstLine="422"/>
        <w:textAlignment w:val="auto"/>
        <w:rPr>
          <w:rFonts w:asciiTheme="minorEastAsia" w:hAnsiTheme="minorEastAsia" w:eastAsiaTheme="minorEastAsia"/>
          <w:sz w:val="21"/>
          <w:szCs w:val="21"/>
        </w:rPr>
      </w:pPr>
      <w:bookmarkStart w:id="6" w:name="_Toc454441797"/>
      <w:r>
        <w:rPr>
          <w:rFonts w:hint="eastAsia" w:asciiTheme="minorEastAsia" w:hAnsiTheme="minorEastAsia" w:eastAsiaTheme="minorEastAsia"/>
          <w:sz w:val="21"/>
          <w:szCs w:val="21"/>
        </w:rPr>
        <w:t>（一）生源保障</w:t>
      </w:r>
      <w:bookmarkEnd w:id="6"/>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统计局数据显示，2016年1-2月，全国固定资产投资同比增长10.2%，交通运输、建筑施工、工矿商贸等企业进入生产经营活动旺季，3月份制造业PMI为50.2%，自去年8月份以来首次回到荣枯线以上。中国气象局发布，我国自3月21日起正式进入汛期，近期多地已出现强降雨，矿山企业透水、尾矿库溃坝、危险化学品生产和储运、公路和铁路沿线洪水泥石流等风险也随之加大。另外，农业机械和渔业船舶自2001年以来未发生特别重大事故；截至2016年3月31日，建筑施工（100个月）、金属非金属矿山（91个月）、民航飞行（67个月）、铁路交通（56个月）、煤矿（36个月）未发生特别重大事故，是这些行业自2001年以来未发生特别重大事故的最长间隔。</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近10年的4月份，煤矿重特大事故占10年重特大事故总量的33.3%；事故起数在12个月中排第9位，死亡人数排第6位，属煤矿事故易发、多发月份。其中：瓦斯事故居第1位，占59.1%，透水事故居第2位，占31.8%（比近10年3月份透水事故占比上升0.8个百分点）。应引起高度重视的是，4月份是煤矿复产复工高峰期，今年以来煤矿已发生4起重大事故，2015年全年发生5起，煤矿重特大事故控制压力较大。</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以上统计的数据，西安市缺乏大量的从事安全生产技术、管理、监督、评价等工作的对口人才，为此，国家开放大学西安分部与西安市安全生产监督管理局、西安市消防支队合作，为西安市安监局、消防支队量身定制了《安全技术与管理》（专科）专业，该专业定位于培养全面掌握安全生产标准要求，精通安全生产监督、管理、检查、评价等工作规则及程序，熟悉建筑安全、化工安全、矿山安全、消防安全等各类安全生产法律法规的专门性人才。同时，西安市安监局下发文件予西安市安监局下属的各区县、开发区安全技术监督管理主管部门及各企事业安全技术管理监督管理部门，制定关于开展全市安全技术管理人才素质提升计划的通知，明确了西安市安监局下属的各安全技术监督管理单位对于该专业的迫切需求及培养范围。</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63360" behindDoc="0" locked="0" layoutInCell="1" allowOverlap="1">
            <wp:simplePos x="0" y="0"/>
            <wp:positionH relativeFrom="margin">
              <wp:posOffset>1099820</wp:posOffset>
            </wp:positionH>
            <wp:positionV relativeFrom="margin">
              <wp:posOffset>1376045</wp:posOffset>
            </wp:positionV>
            <wp:extent cx="3914775" cy="4662170"/>
            <wp:effectExtent l="0" t="0" r="9525" b="508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rcRect l="7023" t="19478" r="1023" b="4818"/>
                    <a:stretch>
                      <a:fillRect/>
                    </a:stretch>
                  </pic:blipFill>
                  <pic:spPr>
                    <a:xfrm>
                      <a:off x="0" y="0"/>
                      <a:ext cx="3914775" cy="4662170"/>
                    </a:xfrm>
                    <a:prstGeom prst="rect">
                      <a:avLst/>
                    </a:prstGeom>
                    <a:ln>
                      <a:noFill/>
                    </a:ln>
                  </pic:spPr>
                </pic:pic>
              </a:graphicData>
            </a:graphic>
          </wp:anchor>
        </w:drawing>
      </w:r>
    </w:p>
    <w:p>
      <w:pPr>
        <w:adjustRightInd w:val="0"/>
        <w:snapToGrid w:val="0"/>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西安市安监局</w:t>
      </w:r>
      <w:r>
        <w:rPr>
          <w:rFonts w:asciiTheme="minorEastAsia" w:hAnsiTheme="minorEastAsia" w:eastAsiaTheme="minorEastAsia"/>
          <w:color w:val="000000" w:themeColor="text1"/>
          <w:sz w:val="21"/>
          <w:szCs w:val="21"/>
        </w:rPr>
        <w:t>文件首页</w:t>
      </w:r>
    </w:p>
    <w:p>
      <w:pPr>
        <w:adjustRightInd w:val="0"/>
        <w:snapToGrid w:val="0"/>
        <w:ind w:firstLine="0" w:firstLineChars="0"/>
        <w:jc w:val="center"/>
        <w:rPr>
          <w:rFonts w:asciiTheme="minorEastAsia" w:hAnsiTheme="minorEastAsia" w:eastAsiaTheme="minorEastAsia"/>
          <w:color w:val="000000" w:themeColor="text1"/>
          <w:sz w:val="21"/>
          <w:szCs w:val="21"/>
        </w:rPr>
      </w:pP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例如，西安市安全生产监督管理局负责工矿商贸作业场所职业卫生的监督检查工作，由于工作人员的职业素质参差不齐，造成工作能力的差异，为此有必要进行安全技术与管理的学习与深造。</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西安市卫生局负责按照国家职业卫生的有关法律法规，拟订全市职业卫生标准，规范职业病的预防、保健、检查和救治，负责职业卫生技术服务机构资质认定和职业卫生评价及化学品毒性鉴定工作。全西安市的卫生人员共有5.11万人，其中，卫生技术人员4.03万人，其他技术人员0.13万人，管理人员0.51万人，工勤人员0.44万人。全西安市的卫生监督人员共542人，从此组数据看出，其一线的工作人员不仅来源复杂，而且数量不多，对工作的执行能力更是千差万别，所以对安全技术与管理的专业需求紧迫。</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西安市安全生产监督管理局要按照职责分工，建立完善协调机制，加强配合，共同做好相关工作。此部门设置党委书记1名、局长1名，党委委员、副局长2名，纪委书记1名，总工程师1名，内设机构为办公室、综合协调处、安全监督管理一处、安全监督管理二处、处、机关党总支、监察室7个处室，30名行政编制，3名工勤编制，共33人。这33人所涉及的行业和单位均比较繁杂，基层的工作人员职业修养及职业技能与当今社会的发展又不能同步，亟需层次较高的安全技术管理类的人员来填充，故此专业的开设能满足他们的工作需要。</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综上所述，面对西安地区对安全技术专业人员的大量需求，真正要实现西安市各项事业稳定发展的目标，就必须要有对口的人才的保障。地方政府积极制定完善人才引进、培养和使用政策，构建与生产系统相适应的技术教育和职业培训体系，做好实用人才转化工作，加强人力资源服务体系建设，实现人才的产销衔接，培养一批具有安全技术与管理的专业技能的人才。</w:t>
      </w:r>
    </w:p>
    <w:p>
      <w:pPr>
        <w:pStyle w:val="2"/>
        <w:spacing w:before="326" w:after="326"/>
        <w:ind w:firstLine="422"/>
        <w:rPr>
          <w:rFonts w:asciiTheme="minorEastAsia" w:hAnsiTheme="minorEastAsia" w:eastAsiaTheme="minorEastAsia"/>
          <w:sz w:val="21"/>
          <w:szCs w:val="21"/>
        </w:rPr>
      </w:pPr>
      <w:bookmarkStart w:id="7" w:name="_Toc454441798"/>
      <w:r>
        <w:rPr>
          <w:rFonts w:hint="eastAsia" w:asciiTheme="minorEastAsia" w:hAnsiTheme="minorEastAsia" w:eastAsiaTheme="minorEastAsia"/>
          <w:sz w:val="21"/>
          <w:szCs w:val="21"/>
        </w:rPr>
        <w:t>（</w:t>
      </w:r>
      <w:r>
        <w:rPr>
          <w:rFonts w:asciiTheme="minorEastAsia" w:hAnsiTheme="minorEastAsia" w:eastAsiaTheme="minorEastAsia"/>
          <w:sz w:val="21"/>
          <w:szCs w:val="21"/>
        </w:rPr>
        <w:t>二）</w:t>
      </w:r>
      <w:r>
        <w:rPr>
          <w:rFonts w:hint="eastAsia" w:asciiTheme="minorEastAsia" w:hAnsiTheme="minorEastAsia" w:eastAsiaTheme="minorEastAsia"/>
          <w:sz w:val="21"/>
          <w:szCs w:val="21"/>
        </w:rPr>
        <w:t>开办</w:t>
      </w:r>
      <w:r>
        <w:rPr>
          <w:rFonts w:asciiTheme="minorEastAsia" w:hAnsiTheme="minorEastAsia" w:eastAsiaTheme="minorEastAsia"/>
          <w:sz w:val="21"/>
          <w:szCs w:val="21"/>
        </w:rPr>
        <w:t>《安全技术与管理》（专科）专业的条件与优势</w:t>
      </w:r>
      <w:bookmarkEnd w:id="7"/>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国家开放大学西安分部高度重视安全技术</w:t>
      </w:r>
      <w:r>
        <w:rPr>
          <w:rFonts w:asciiTheme="minorEastAsia" w:hAnsiTheme="minorEastAsia" w:eastAsiaTheme="minorEastAsia"/>
          <w:color w:val="000000" w:themeColor="text1"/>
          <w:sz w:val="21"/>
          <w:szCs w:val="21"/>
        </w:rPr>
        <w:t>与</w:t>
      </w:r>
      <w:r>
        <w:rPr>
          <w:rFonts w:hint="eastAsia" w:asciiTheme="minorEastAsia" w:hAnsiTheme="minorEastAsia" w:eastAsiaTheme="minorEastAsia"/>
          <w:color w:val="000000" w:themeColor="text1"/>
          <w:sz w:val="21"/>
          <w:szCs w:val="21"/>
        </w:rPr>
        <w:t>管理专业建设，组建</w:t>
      </w:r>
      <w:r>
        <w:rPr>
          <w:rFonts w:asciiTheme="minorEastAsia" w:hAnsiTheme="minorEastAsia" w:eastAsiaTheme="minorEastAsia"/>
          <w:color w:val="000000" w:themeColor="text1"/>
          <w:sz w:val="21"/>
          <w:szCs w:val="21"/>
        </w:rPr>
        <w:t>了专业调研小组，多次深入到西安市</w:t>
      </w:r>
      <w:r>
        <w:rPr>
          <w:rFonts w:hint="eastAsia" w:asciiTheme="minorEastAsia" w:hAnsiTheme="minorEastAsia" w:eastAsiaTheme="minorEastAsia"/>
          <w:color w:val="000000" w:themeColor="text1"/>
          <w:sz w:val="21"/>
          <w:szCs w:val="21"/>
        </w:rPr>
        <w:t>各单位</w:t>
      </w:r>
      <w:r>
        <w:rPr>
          <w:rFonts w:asciiTheme="minorEastAsia" w:hAnsiTheme="minorEastAsia" w:eastAsiaTheme="minorEastAsia"/>
          <w:color w:val="000000" w:themeColor="text1"/>
          <w:sz w:val="21"/>
          <w:szCs w:val="21"/>
        </w:rPr>
        <w:t>进行</w:t>
      </w:r>
      <w:r>
        <w:rPr>
          <w:rFonts w:hint="eastAsia" w:asciiTheme="minorEastAsia" w:hAnsiTheme="minorEastAsia" w:eastAsiaTheme="minorEastAsia"/>
          <w:color w:val="000000" w:themeColor="text1"/>
          <w:sz w:val="21"/>
          <w:szCs w:val="21"/>
        </w:rPr>
        <w:t>数据</w:t>
      </w:r>
      <w:r>
        <w:rPr>
          <w:rFonts w:asciiTheme="minorEastAsia" w:hAnsiTheme="minorEastAsia" w:eastAsiaTheme="minorEastAsia"/>
          <w:color w:val="000000" w:themeColor="text1"/>
          <w:sz w:val="21"/>
          <w:szCs w:val="21"/>
        </w:rPr>
        <w:t>统计和结果</w:t>
      </w:r>
      <w:r>
        <w:rPr>
          <w:rFonts w:hint="eastAsia" w:asciiTheme="minorEastAsia" w:hAnsiTheme="minorEastAsia" w:eastAsiaTheme="minorEastAsia"/>
          <w:color w:val="000000" w:themeColor="text1"/>
          <w:sz w:val="21"/>
          <w:szCs w:val="21"/>
        </w:rPr>
        <w:t>分析</w:t>
      </w:r>
      <w:r>
        <w:rPr>
          <w:rFonts w:asciiTheme="minorEastAsia" w:hAnsiTheme="minorEastAsia" w:eastAsiaTheme="minorEastAsia"/>
          <w:color w:val="000000" w:themeColor="text1"/>
          <w:sz w:val="21"/>
          <w:szCs w:val="21"/>
        </w:rPr>
        <w:t>，聘请普通高校的专家作为顾问，进行专业</w:t>
      </w:r>
      <w:r>
        <w:rPr>
          <w:rFonts w:hint="eastAsia" w:asciiTheme="minorEastAsia" w:hAnsiTheme="minorEastAsia" w:eastAsiaTheme="minorEastAsia"/>
          <w:color w:val="000000" w:themeColor="text1"/>
          <w:sz w:val="21"/>
          <w:szCs w:val="21"/>
        </w:rPr>
        <w:t>学科</w:t>
      </w:r>
      <w:r>
        <w:rPr>
          <w:rFonts w:asciiTheme="minorEastAsia" w:hAnsiTheme="minorEastAsia" w:eastAsiaTheme="minorEastAsia"/>
          <w:color w:val="000000" w:themeColor="text1"/>
          <w:sz w:val="21"/>
          <w:szCs w:val="21"/>
        </w:rPr>
        <w:t>的</w:t>
      </w:r>
      <w:r>
        <w:rPr>
          <w:rFonts w:hint="eastAsia" w:asciiTheme="minorEastAsia" w:hAnsiTheme="minorEastAsia" w:eastAsiaTheme="minorEastAsia"/>
          <w:color w:val="000000" w:themeColor="text1"/>
          <w:sz w:val="21"/>
          <w:szCs w:val="21"/>
        </w:rPr>
        <w:t>建设</w:t>
      </w:r>
      <w:r>
        <w:rPr>
          <w:rFonts w:asciiTheme="minorEastAsia" w:hAnsiTheme="minorEastAsia" w:eastAsiaTheme="minorEastAsia"/>
          <w:color w:val="000000" w:themeColor="text1"/>
          <w:sz w:val="21"/>
          <w:szCs w:val="21"/>
        </w:rPr>
        <w:t>工作。在</w:t>
      </w:r>
      <w:r>
        <w:rPr>
          <w:rFonts w:hint="eastAsia" w:asciiTheme="minorEastAsia" w:hAnsiTheme="minorEastAsia" w:eastAsiaTheme="minorEastAsia"/>
          <w:color w:val="000000" w:themeColor="text1"/>
          <w:sz w:val="21"/>
          <w:szCs w:val="21"/>
        </w:rPr>
        <w:t>对</w:t>
      </w:r>
      <w:r>
        <w:rPr>
          <w:rFonts w:asciiTheme="minorEastAsia" w:hAnsiTheme="minorEastAsia" w:eastAsiaTheme="minorEastAsia"/>
          <w:color w:val="000000" w:themeColor="text1"/>
          <w:sz w:val="21"/>
          <w:szCs w:val="21"/>
        </w:rPr>
        <w:t>西安市安全技术人员需求的充分调研的基础上，</w:t>
      </w:r>
      <w:r>
        <w:rPr>
          <w:rFonts w:hint="eastAsia" w:asciiTheme="minorEastAsia" w:hAnsiTheme="minorEastAsia" w:eastAsiaTheme="minorEastAsia"/>
          <w:color w:val="000000" w:themeColor="text1"/>
          <w:sz w:val="21"/>
          <w:szCs w:val="21"/>
        </w:rPr>
        <w:t>成立</w:t>
      </w:r>
      <w:r>
        <w:rPr>
          <w:rFonts w:asciiTheme="minorEastAsia" w:hAnsiTheme="minorEastAsia" w:eastAsiaTheme="minorEastAsia"/>
          <w:color w:val="000000" w:themeColor="text1"/>
          <w:sz w:val="21"/>
          <w:szCs w:val="21"/>
        </w:rPr>
        <w:t>了安全技术与</w:t>
      </w:r>
      <w:r>
        <w:rPr>
          <w:rFonts w:hint="eastAsia" w:asciiTheme="minorEastAsia" w:hAnsiTheme="minorEastAsia" w:eastAsiaTheme="minorEastAsia"/>
          <w:color w:val="000000" w:themeColor="text1"/>
          <w:sz w:val="21"/>
          <w:szCs w:val="21"/>
        </w:rPr>
        <w:t>管理</w:t>
      </w:r>
      <w:r>
        <w:rPr>
          <w:rFonts w:asciiTheme="minorEastAsia" w:hAnsiTheme="minorEastAsia" w:eastAsiaTheme="minorEastAsia"/>
          <w:color w:val="000000" w:themeColor="text1"/>
          <w:sz w:val="21"/>
          <w:szCs w:val="21"/>
        </w:rPr>
        <w:t>专业工作</w:t>
      </w:r>
      <w:r>
        <w:rPr>
          <w:rFonts w:hint="eastAsia" w:asciiTheme="minorEastAsia" w:hAnsiTheme="minorEastAsia" w:eastAsiaTheme="minorEastAsia"/>
          <w:color w:val="000000" w:themeColor="text1"/>
          <w:sz w:val="21"/>
          <w:szCs w:val="21"/>
        </w:rPr>
        <w:t>小组</w:t>
      </w:r>
      <w:r>
        <w:rPr>
          <w:rFonts w:asciiTheme="minorEastAsia" w:hAnsiTheme="minorEastAsia" w:eastAsiaTheme="minorEastAsia"/>
          <w:color w:val="000000" w:themeColor="text1"/>
          <w:sz w:val="21"/>
          <w:szCs w:val="21"/>
        </w:rPr>
        <w:t>和</w:t>
      </w:r>
      <w:r>
        <w:rPr>
          <w:rFonts w:hint="eastAsia" w:asciiTheme="minorEastAsia" w:hAnsiTheme="minorEastAsia" w:eastAsiaTheme="minorEastAsia"/>
          <w:color w:val="000000" w:themeColor="text1"/>
          <w:sz w:val="21"/>
          <w:szCs w:val="21"/>
        </w:rPr>
        <w:t>资源</w:t>
      </w:r>
      <w:r>
        <w:rPr>
          <w:rFonts w:asciiTheme="minorEastAsia" w:hAnsiTheme="minorEastAsia" w:eastAsiaTheme="minorEastAsia"/>
          <w:color w:val="000000" w:themeColor="text1"/>
          <w:sz w:val="21"/>
          <w:szCs w:val="21"/>
        </w:rPr>
        <w:t>建设小组</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以顺利推进专业建设工作的开展。</w:t>
      </w:r>
    </w:p>
    <w:p>
      <w:pPr>
        <w:pStyle w:val="10"/>
        <w:numPr>
          <w:ilvl w:val="0"/>
          <w:numId w:val="1"/>
        </w:numPr>
        <w:spacing w:line="360" w:lineRule="auto"/>
        <w:ind w:hanging="496" w:firstLineChars="0"/>
        <w:rPr>
          <w:rFonts w:asciiTheme="minorEastAsia" w:hAnsiTheme="minorEastAsia" w:eastAsiaTheme="minorEastAsia"/>
          <w:b w:val="0"/>
          <w:sz w:val="21"/>
          <w:szCs w:val="21"/>
        </w:rPr>
      </w:pPr>
      <w:bookmarkStart w:id="8" w:name="_Toc454441799"/>
      <w:r>
        <w:rPr>
          <w:rFonts w:hint="eastAsia" w:asciiTheme="minorEastAsia" w:hAnsiTheme="minorEastAsia" w:eastAsiaTheme="minorEastAsia"/>
          <w:sz w:val="21"/>
          <w:szCs w:val="21"/>
        </w:rPr>
        <w:t>工作</w:t>
      </w:r>
      <w:r>
        <w:rPr>
          <w:rFonts w:asciiTheme="minorEastAsia" w:hAnsiTheme="minorEastAsia" w:eastAsiaTheme="minorEastAsia"/>
          <w:sz w:val="21"/>
          <w:szCs w:val="21"/>
        </w:rPr>
        <w:t>小组</w:t>
      </w:r>
      <w:bookmarkEnd w:id="8"/>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组长</w:t>
      </w:r>
      <w:r>
        <w:rPr>
          <w:rFonts w:asciiTheme="minorEastAsia" w:hAnsiTheme="minorEastAsia" w:eastAsiaTheme="minorEastAsia"/>
          <w:color w:val="000000" w:themeColor="text1"/>
          <w:sz w:val="21"/>
          <w:szCs w:val="21"/>
        </w:rPr>
        <w:t>：赵丽玲</w:t>
      </w:r>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副组长</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王丽美</w:t>
      </w:r>
      <w:r>
        <w:rPr>
          <w:rFonts w:asciiTheme="minorEastAsia" w:hAnsiTheme="minorEastAsia" w:eastAsiaTheme="minorEastAsia"/>
          <w:color w:val="000000" w:themeColor="text1"/>
          <w:sz w:val="21"/>
          <w:szCs w:val="21"/>
        </w:rPr>
        <w:t>、杨彩霖</w:t>
      </w:r>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组员</w:t>
      </w:r>
      <w:r>
        <w:rPr>
          <w:rFonts w:asciiTheme="minorEastAsia" w:hAnsiTheme="minorEastAsia" w:eastAsiaTheme="minorEastAsia"/>
          <w:color w:val="000000" w:themeColor="text1"/>
          <w:sz w:val="21"/>
          <w:szCs w:val="21"/>
        </w:rPr>
        <w:t>：史永哲、严峥嵘、王青</w:t>
      </w:r>
    </w:p>
    <w:p>
      <w:pPr>
        <w:pStyle w:val="10"/>
        <w:tabs>
          <w:tab w:val="left" w:pos="426"/>
          <w:tab w:val="left" w:pos="851"/>
        </w:tabs>
        <w:spacing w:line="360" w:lineRule="auto"/>
        <w:ind w:firstLine="371" w:firstLineChars="176"/>
        <w:rPr>
          <w:rFonts w:asciiTheme="minorEastAsia" w:hAnsiTheme="minorEastAsia" w:eastAsiaTheme="minorEastAsia"/>
          <w:b w:val="0"/>
          <w:sz w:val="21"/>
          <w:szCs w:val="21"/>
        </w:rPr>
      </w:pPr>
      <w:bookmarkStart w:id="9" w:name="_Toc454441800"/>
      <w:r>
        <w:rPr>
          <w:rFonts w:cs="Times New Roman" w:asciiTheme="minorEastAsia" w:hAnsiTheme="minorEastAsia" w:eastAsiaTheme="minorEastAsia"/>
          <w:sz w:val="21"/>
          <w:szCs w:val="21"/>
        </w:rPr>
        <w:t>2.</w:t>
      </w:r>
      <w:r>
        <w:rPr>
          <w:rFonts w:hint="eastAsia" w:asciiTheme="minorEastAsia" w:hAnsiTheme="minorEastAsia" w:eastAsiaTheme="minorEastAsia"/>
          <w:sz w:val="21"/>
          <w:szCs w:val="21"/>
        </w:rPr>
        <w:t>资源</w:t>
      </w:r>
      <w:r>
        <w:rPr>
          <w:rFonts w:asciiTheme="minorEastAsia" w:hAnsiTheme="minorEastAsia" w:eastAsiaTheme="minorEastAsia"/>
          <w:sz w:val="21"/>
          <w:szCs w:val="21"/>
        </w:rPr>
        <w:t>建设小组</w:t>
      </w:r>
      <w:bookmarkEnd w:id="9"/>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组长：</w:t>
      </w:r>
      <w:r>
        <w:rPr>
          <w:rFonts w:asciiTheme="minorEastAsia" w:hAnsiTheme="minorEastAsia" w:eastAsiaTheme="minorEastAsia"/>
          <w:color w:val="000000" w:themeColor="text1"/>
          <w:sz w:val="21"/>
          <w:szCs w:val="21"/>
        </w:rPr>
        <w:t>杨彩霖</w:t>
      </w:r>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副组长</w:t>
      </w:r>
      <w:r>
        <w:rPr>
          <w:rFonts w:asciiTheme="minorEastAsia" w:hAnsiTheme="minorEastAsia" w:eastAsiaTheme="minorEastAsia"/>
          <w:color w:val="000000" w:themeColor="text1"/>
          <w:sz w:val="21"/>
          <w:szCs w:val="21"/>
        </w:rPr>
        <w:t>：史永哲</w:t>
      </w:r>
    </w:p>
    <w:p>
      <w:pPr>
        <w:adjustRightInd w:val="0"/>
        <w:snapToGrid w:val="0"/>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组员</w:t>
      </w:r>
      <w:r>
        <w:rPr>
          <w:rFonts w:asciiTheme="minorEastAsia" w:hAnsiTheme="minorEastAsia" w:eastAsiaTheme="minorEastAsia"/>
          <w:color w:val="000000" w:themeColor="text1"/>
          <w:sz w:val="21"/>
          <w:szCs w:val="21"/>
        </w:rPr>
        <w:t>：严峥嵘、王青</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西安建筑科技大学、西安科技大学兼职教师</w:t>
      </w:r>
    </w:p>
    <w:p>
      <w:pPr>
        <w:pStyle w:val="10"/>
        <w:spacing w:line="360" w:lineRule="auto"/>
        <w:ind w:firstLine="422"/>
        <w:jc w:val="both"/>
        <w:rPr>
          <w:rFonts w:cs="Times New Roman" w:asciiTheme="minorEastAsia" w:hAnsiTheme="minorEastAsia" w:eastAsiaTheme="minorEastAsia"/>
          <w:sz w:val="21"/>
          <w:szCs w:val="21"/>
        </w:rPr>
      </w:pPr>
      <w:bookmarkStart w:id="10" w:name="_Toc454441801"/>
      <w:r>
        <w:rPr>
          <w:rFonts w:cs="Times New Roman" w:asciiTheme="minorEastAsia" w:hAnsiTheme="minorEastAsia" w:eastAsiaTheme="minorEastAsia"/>
          <w:sz w:val="21"/>
          <w:szCs w:val="21"/>
        </w:rPr>
        <w:t>3. 学科带头人</w:t>
      </w:r>
      <w:bookmarkEnd w:id="10"/>
    </w:p>
    <w:p>
      <w:pPr>
        <w:adjustRightInd w:val="0"/>
        <w:snapToGrid w:val="0"/>
        <w:ind w:firstLine="420"/>
        <w:rPr>
          <w:rFonts w:asciiTheme="minorEastAsia" w:hAnsiTheme="minorEastAsia" w:eastAsiaTheme="minorEastAsia"/>
          <w:color w:val="000000" w:themeColor="text1"/>
          <w:sz w:val="21"/>
          <w:szCs w:val="21"/>
        </w:rPr>
      </w:pPr>
      <w:r>
        <w:rPr>
          <w:rFonts w:asciiTheme="minorEastAsia" w:hAnsiTheme="minorEastAsia" w:eastAsiaTheme="minorEastAsia"/>
          <w:color w:val="000000"/>
          <w:sz w:val="21"/>
          <w:szCs w:val="21"/>
          <w:shd w:val="clear" w:color="auto" w:fill="FFFFFF"/>
        </w:rPr>
        <w:t>林海飞教授，博士，西安科技大学安全工程专业，现为</w:t>
      </w:r>
      <w:r>
        <w:rPr>
          <w:rFonts w:hint="eastAsia" w:asciiTheme="minorEastAsia" w:hAnsiTheme="minorEastAsia" w:eastAsiaTheme="minorEastAsia"/>
          <w:color w:val="000000"/>
          <w:sz w:val="21"/>
          <w:szCs w:val="21"/>
          <w:shd w:val="clear" w:color="auto" w:fill="FFFFFF"/>
        </w:rPr>
        <w:t>西安</w:t>
      </w:r>
      <w:r>
        <w:rPr>
          <w:rFonts w:asciiTheme="minorEastAsia" w:hAnsiTheme="minorEastAsia" w:eastAsiaTheme="minorEastAsia"/>
          <w:color w:val="000000"/>
          <w:sz w:val="21"/>
          <w:szCs w:val="21"/>
          <w:shd w:val="clear" w:color="auto" w:fill="FFFFFF"/>
        </w:rPr>
        <w:t>科技大学安全工程系主任。主持国家自然科学基金、省自然科学基金以及横向项目10余项，发表学术论文30余篇（SCI、EI等收录12篇），出版专著及参编教材12部，获各类专利20余项。获省部级奖6项，厅局级奖8项。曾获陕西省青年科技新星、中国职业安全健康协会青年科技奖。</w:t>
      </w:r>
    </w:p>
    <w:p>
      <w:pPr>
        <w:pStyle w:val="10"/>
        <w:spacing w:line="360" w:lineRule="auto"/>
        <w:ind w:firstLine="422"/>
        <w:jc w:val="both"/>
        <w:rPr>
          <w:rFonts w:asciiTheme="minorEastAsia" w:hAnsiTheme="minorEastAsia" w:eastAsiaTheme="minorEastAsia"/>
          <w:sz w:val="21"/>
          <w:szCs w:val="21"/>
        </w:rPr>
      </w:pPr>
      <w:bookmarkStart w:id="11" w:name="_Toc454441802"/>
      <w:r>
        <w:rPr>
          <w:rFonts w:cs="Times New Roman" w:asciiTheme="minorEastAsia" w:hAnsiTheme="minorEastAsia" w:eastAsiaTheme="minorEastAsia"/>
          <w:sz w:val="21"/>
          <w:szCs w:val="21"/>
        </w:rPr>
        <w:t>4.</w:t>
      </w:r>
      <w:r>
        <w:rPr>
          <w:rFonts w:hint="eastAsia" w:asciiTheme="minorEastAsia" w:hAnsiTheme="minorEastAsia" w:eastAsiaTheme="minorEastAsia"/>
          <w:sz w:val="21"/>
          <w:szCs w:val="21"/>
        </w:rPr>
        <w:t>专家顾问</w:t>
      </w:r>
      <w:bookmarkEnd w:id="11"/>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崔</w:t>
      </w:r>
      <w:r>
        <w:rPr>
          <w:rFonts w:asciiTheme="minorEastAsia" w:hAnsiTheme="minorEastAsia" w:eastAsiaTheme="minorEastAsia"/>
          <w:color w:val="000000"/>
          <w:sz w:val="21"/>
          <w:szCs w:val="21"/>
          <w:shd w:val="clear" w:color="auto" w:fill="FFFFFF"/>
        </w:rPr>
        <w:t>晓</w:t>
      </w:r>
      <w:r>
        <w:rPr>
          <w:rFonts w:hint="eastAsia" w:asciiTheme="minorEastAsia" w:hAnsiTheme="minorEastAsia" w:eastAsiaTheme="minorEastAsia"/>
          <w:color w:val="000000"/>
          <w:sz w:val="21"/>
          <w:szCs w:val="21"/>
          <w:shd w:val="clear" w:color="auto" w:fill="FFFFFF"/>
        </w:rPr>
        <w:t>红：</w:t>
      </w:r>
      <w:r>
        <w:rPr>
          <w:rFonts w:asciiTheme="minorEastAsia" w:hAnsiTheme="minorEastAsia" w:eastAsiaTheme="minorEastAsia"/>
          <w:color w:val="000000"/>
          <w:sz w:val="21"/>
          <w:szCs w:val="21"/>
          <w:shd w:val="clear" w:color="auto" w:fill="FFFFFF"/>
        </w:rPr>
        <w:t>西安建筑科技大学教授</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中共党员，</w:t>
      </w:r>
      <w:r>
        <w:rPr>
          <w:rFonts w:hint="eastAsia" w:asciiTheme="minorEastAsia" w:hAnsiTheme="minorEastAsia" w:eastAsiaTheme="minorEastAsia"/>
          <w:color w:val="000000"/>
          <w:sz w:val="21"/>
          <w:szCs w:val="21"/>
          <w:shd w:val="clear" w:color="auto" w:fill="FFFFFF"/>
        </w:rPr>
        <w:t>研究</w:t>
      </w:r>
      <w:r>
        <w:rPr>
          <w:rFonts w:asciiTheme="minorEastAsia" w:hAnsiTheme="minorEastAsia" w:eastAsiaTheme="minorEastAsia"/>
          <w:color w:val="000000"/>
          <w:sz w:val="21"/>
          <w:szCs w:val="21"/>
          <w:shd w:val="clear" w:color="auto" w:fill="FFFFFF"/>
        </w:rPr>
        <w:t>生导师</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西安建筑科技大学</w:t>
      </w:r>
      <w:r>
        <w:rPr>
          <w:rFonts w:hint="eastAsia" w:asciiTheme="minorEastAsia" w:hAnsiTheme="minorEastAsia" w:eastAsiaTheme="minorEastAsia"/>
          <w:color w:val="000000"/>
          <w:sz w:val="21"/>
          <w:szCs w:val="21"/>
          <w:shd w:val="clear" w:color="auto" w:fill="FFFFFF"/>
        </w:rPr>
        <w:t>劳动</w:t>
      </w:r>
      <w:r>
        <w:rPr>
          <w:rFonts w:asciiTheme="minorEastAsia" w:hAnsiTheme="minorEastAsia" w:eastAsiaTheme="minorEastAsia"/>
          <w:color w:val="000000"/>
          <w:sz w:val="21"/>
          <w:szCs w:val="21"/>
          <w:shd w:val="clear" w:color="auto" w:fill="FFFFFF"/>
        </w:rPr>
        <w:t>安全卫生研究所</w:t>
      </w:r>
      <w:r>
        <w:rPr>
          <w:rFonts w:hint="eastAsia" w:asciiTheme="minorEastAsia" w:hAnsiTheme="minorEastAsia" w:eastAsiaTheme="minorEastAsia"/>
          <w:color w:val="000000"/>
          <w:sz w:val="21"/>
          <w:szCs w:val="21"/>
          <w:shd w:val="clear" w:color="auto" w:fill="FFFFFF"/>
        </w:rPr>
        <w:t>所长</w:t>
      </w:r>
      <w:r>
        <w:rPr>
          <w:rFonts w:asciiTheme="minorEastAsia" w:hAnsiTheme="minorEastAsia" w:eastAsiaTheme="minorEastAsia"/>
          <w:color w:val="000000"/>
          <w:sz w:val="21"/>
          <w:szCs w:val="21"/>
          <w:shd w:val="clear" w:color="auto" w:fill="FFFFFF"/>
        </w:rPr>
        <w:t>，是</w:t>
      </w:r>
      <w:r>
        <w:rPr>
          <w:rFonts w:hint="eastAsia" w:asciiTheme="minorEastAsia" w:hAnsiTheme="minorEastAsia" w:eastAsiaTheme="minorEastAsia"/>
          <w:color w:val="000000"/>
          <w:sz w:val="21"/>
          <w:szCs w:val="21"/>
          <w:shd w:val="clear" w:color="auto" w:fill="FFFFFF"/>
        </w:rPr>
        <w:t>陕西</w:t>
      </w:r>
      <w:r>
        <w:rPr>
          <w:rFonts w:asciiTheme="minorEastAsia" w:hAnsiTheme="minorEastAsia" w:eastAsiaTheme="minorEastAsia"/>
          <w:color w:val="000000"/>
          <w:sz w:val="21"/>
          <w:szCs w:val="21"/>
          <w:shd w:val="clear" w:color="auto" w:fill="FFFFFF"/>
        </w:rPr>
        <w:t>省安全监管局认定的</w:t>
      </w:r>
      <w:r>
        <w:rPr>
          <w:rFonts w:hint="eastAsia" w:asciiTheme="minorEastAsia" w:hAnsiTheme="minorEastAsia" w:eastAsiaTheme="minorEastAsia"/>
          <w:color w:val="000000"/>
          <w:sz w:val="21"/>
          <w:szCs w:val="21"/>
          <w:shd w:val="clear" w:color="auto" w:fill="FFFFFF"/>
        </w:rPr>
        <w:t>第</w:t>
      </w:r>
      <w:r>
        <w:rPr>
          <w:rFonts w:asciiTheme="minorEastAsia" w:hAnsiTheme="minorEastAsia" w:eastAsiaTheme="minorEastAsia"/>
          <w:color w:val="000000"/>
          <w:sz w:val="21"/>
          <w:szCs w:val="21"/>
          <w:shd w:val="clear" w:color="auto" w:fill="FFFFFF"/>
        </w:rPr>
        <w:t>一批</w:t>
      </w:r>
      <w:r>
        <w:rPr>
          <w:rFonts w:hint="eastAsia" w:asciiTheme="minorEastAsia" w:hAnsiTheme="minorEastAsia" w:eastAsiaTheme="minorEastAsia"/>
          <w:color w:val="000000"/>
          <w:sz w:val="21"/>
          <w:szCs w:val="21"/>
          <w:shd w:val="clear" w:color="auto" w:fill="FFFFFF"/>
        </w:rPr>
        <w:t>安全评审和职业卫生</w:t>
      </w:r>
      <w:r>
        <w:rPr>
          <w:rFonts w:asciiTheme="minorEastAsia" w:hAnsiTheme="minorEastAsia" w:eastAsiaTheme="minorEastAsia"/>
          <w:color w:val="000000"/>
          <w:sz w:val="21"/>
          <w:szCs w:val="21"/>
          <w:shd w:val="clear" w:color="auto" w:fill="FFFFFF"/>
        </w:rPr>
        <w:t>专家</w:t>
      </w:r>
      <w:r>
        <w:rPr>
          <w:rFonts w:hint="eastAsia" w:asciiTheme="minorEastAsia" w:hAnsiTheme="minorEastAsia" w:eastAsiaTheme="minorEastAsia"/>
          <w:color w:val="000000"/>
          <w:sz w:val="21"/>
          <w:szCs w:val="21"/>
          <w:shd w:val="clear" w:color="auto" w:fill="FFFFFF"/>
        </w:rPr>
        <w:t>，是国家安全工程师培训教师。</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嵇鹰</w:t>
      </w:r>
      <w:r>
        <w:rPr>
          <w:rFonts w:asciiTheme="minorEastAsia" w:hAnsiTheme="minorEastAsia" w:eastAsiaTheme="minorEastAsia"/>
          <w:color w:val="000000"/>
          <w:sz w:val="21"/>
          <w:szCs w:val="21"/>
          <w:shd w:val="clear" w:color="auto" w:fill="FFFFFF"/>
        </w:rPr>
        <w:t>：西安建筑科技大学教授</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中共党员</w:t>
      </w:r>
      <w:r>
        <w:rPr>
          <w:rFonts w:hint="eastAsia" w:asciiTheme="minorEastAsia" w:hAnsiTheme="minorEastAsia" w:eastAsiaTheme="minorEastAsia"/>
          <w:color w:val="000000"/>
          <w:sz w:val="21"/>
          <w:szCs w:val="21"/>
          <w:shd w:val="clear" w:color="auto" w:fill="FFFFFF"/>
        </w:rPr>
        <w:t>，研究</w:t>
      </w:r>
      <w:r>
        <w:rPr>
          <w:rFonts w:asciiTheme="minorEastAsia" w:hAnsiTheme="minorEastAsia" w:eastAsiaTheme="minorEastAsia"/>
          <w:color w:val="000000"/>
          <w:sz w:val="21"/>
          <w:szCs w:val="21"/>
          <w:shd w:val="clear" w:color="auto" w:fill="FFFFFF"/>
        </w:rPr>
        <w:t>生导师，主要研究方向为材料工程</w:t>
      </w:r>
      <w:r>
        <w:rPr>
          <w:rFonts w:hint="eastAsia" w:asciiTheme="minorEastAsia" w:hAnsiTheme="minorEastAsia" w:eastAsiaTheme="minorEastAsia"/>
          <w:color w:val="000000"/>
          <w:sz w:val="21"/>
          <w:szCs w:val="21"/>
          <w:shd w:val="clear" w:color="auto" w:fill="FFFFFF"/>
        </w:rPr>
        <w:t>安全</w:t>
      </w:r>
      <w:r>
        <w:rPr>
          <w:rFonts w:asciiTheme="minorEastAsia" w:hAnsiTheme="minorEastAsia" w:eastAsiaTheme="minorEastAsia"/>
          <w:color w:val="000000"/>
          <w:sz w:val="21"/>
          <w:szCs w:val="21"/>
          <w:shd w:val="clear" w:color="auto" w:fill="FFFFFF"/>
        </w:rPr>
        <w:t>理论与</w:t>
      </w:r>
      <w:r>
        <w:rPr>
          <w:rFonts w:hint="eastAsia" w:asciiTheme="minorEastAsia" w:hAnsiTheme="minorEastAsia" w:eastAsiaTheme="minorEastAsia"/>
          <w:color w:val="000000"/>
          <w:sz w:val="21"/>
          <w:szCs w:val="21"/>
          <w:shd w:val="clear" w:color="auto" w:fill="FFFFFF"/>
        </w:rPr>
        <w:t>设</w:t>
      </w:r>
      <w:r>
        <w:rPr>
          <w:rFonts w:asciiTheme="minorEastAsia" w:hAnsiTheme="minorEastAsia" w:eastAsiaTheme="minorEastAsia"/>
          <w:color w:val="000000"/>
          <w:sz w:val="21"/>
          <w:szCs w:val="21"/>
          <w:shd w:val="clear" w:color="auto" w:fill="FFFFFF"/>
        </w:rPr>
        <w:t>备</w:t>
      </w:r>
      <w:r>
        <w:rPr>
          <w:rFonts w:hint="eastAsia" w:asciiTheme="minorEastAsia" w:hAnsiTheme="minorEastAsia" w:eastAsiaTheme="minorEastAsia"/>
          <w:color w:val="000000"/>
          <w:sz w:val="21"/>
          <w:szCs w:val="21"/>
          <w:shd w:val="clear" w:color="auto" w:fill="FFFFFF"/>
        </w:rPr>
        <w:t>，2</w:t>
      </w:r>
      <w:r>
        <w:rPr>
          <w:rFonts w:asciiTheme="minorEastAsia" w:hAnsiTheme="minorEastAsia" w:eastAsiaTheme="minorEastAsia"/>
          <w:color w:val="000000"/>
          <w:sz w:val="21"/>
          <w:szCs w:val="21"/>
          <w:shd w:val="clear" w:color="auto" w:fill="FFFFFF"/>
        </w:rPr>
        <w:t>006</w:t>
      </w:r>
      <w:r>
        <w:rPr>
          <w:rFonts w:hint="eastAsia" w:asciiTheme="minorEastAsia" w:hAnsiTheme="minorEastAsia" w:eastAsiaTheme="minorEastAsia"/>
          <w:color w:val="000000"/>
          <w:sz w:val="21"/>
          <w:szCs w:val="21"/>
          <w:shd w:val="clear" w:color="auto" w:fill="FFFFFF"/>
        </w:rPr>
        <w:t>年</w:t>
      </w:r>
      <w:r>
        <w:rPr>
          <w:rFonts w:asciiTheme="minorEastAsia" w:hAnsiTheme="minorEastAsia" w:eastAsiaTheme="minorEastAsia"/>
          <w:color w:val="000000"/>
          <w:sz w:val="21"/>
          <w:szCs w:val="21"/>
          <w:shd w:val="clear" w:color="auto" w:fill="FFFFFF"/>
        </w:rPr>
        <w:t>获陕西省科学技术奖</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是</w:t>
      </w:r>
      <w:r>
        <w:rPr>
          <w:rFonts w:hint="eastAsia" w:asciiTheme="minorEastAsia" w:hAnsiTheme="minorEastAsia" w:eastAsiaTheme="minorEastAsia"/>
          <w:color w:val="000000"/>
          <w:sz w:val="21"/>
          <w:szCs w:val="21"/>
          <w:shd w:val="clear" w:color="auto" w:fill="FFFFFF"/>
        </w:rPr>
        <w:t>陕西</w:t>
      </w:r>
      <w:r>
        <w:rPr>
          <w:rFonts w:asciiTheme="minorEastAsia" w:hAnsiTheme="minorEastAsia" w:eastAsiaTheme="minorEastAsia"/>
          <w:color w:val="000000"/>
          <w:sz w:val="21"/>
          <w:szCs w:val="21"/>
          <w:shd w:val="clear" w:color="auto" w:fill="FFFFFF"/>
        </w:rPr>
        <w:t>省安全监管局认定的</w:t>
      </w:r>
      <w:r>
        <w:rPr>
          <w:rFonts w:hint="eastAsia" w:asciiTheme="minorEastAsia" w:hAnsiTheme="minorEastAsia" w:eastAsiaTheme="minorEastAsia"/>
          <w:color w:val="000000"/>
          <w:sz w:val="21"/>
          <w:szCs w:val="21"/>
          <w:shd w:val="clear" w:color="auto" w:fill="FFFFFF"/>
        </w:rPr>
        <w:t>第</w:t>
      </w:r>
      <w:r>
        <w:rPr>
          <w:rFonts w:asciiTheme="minorEastAsia" w:hAnsiTheme="minorEastAsia" w:eastAsiaTheme="minorEastAsia"/>
          <w:color w:val="000000"/>
          <w:sz w:val="21"/>
          <w:szCs w:val="21"/>
          <w:shd w:val="clear" w:color="auto" w:fill="FFFFFF"/>
        </w:rPr>
        <w:t>一批</w:t>
      </w:r>
      <w:r>
        <w:rPr>
          <w:rFonts w:hint="eastAsia" w:asciiTheme="minorEastAsia" w:hAnsiTheme="minorEastAsia" w:eastAsiaTheme="minorEastAsia"/>
          <w:color w:val="000000"/>
          <w:sz w:val="21"/>
          <w:szCs w:val="21"/>
          <w:shd w:val="clear" w:color="auto" w:fill="FFFFFF"/>
        </w:rPr>
        <w:t>安全评审</w:t>
      </w:r>
      <w:r>
        <w:rPr>
          <w:rFonts w:asciiTheme="minorEastAsia" w:hAnsiTheme="minorEastAsia" w:eastAsiaTheme="minorEastAsia"/>
          <w:color w:val="000000"/>
          <w:sz w:val="21"/>
          <w:szCs w:val="21"/>
          <w:shd w:val="clear" w:color="auto" w:fill="FFFFFF"/>
        </w:rPr>
        <w:t>专家</w:t>
      </w:r>
      <w:r>
        <w:rPr>
          <w:rFonts w:hint="eastAsia" w:asciiTheme="minorEastAsia" w:hAnsiTheme="minorEastAsia" w:eastAsiaTheme="minorEastAsia"/>
          <w:color w:val="000000"/>
          <w:sz w:val="21"/>
          <w:szCs w:val="21"/>
          <w:shd w:val="clear" w:color="auto" w:fill="FFFFFF"/>
        </w:rPr>
        <w:t>。</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赵</w:t>
      </w:r>
      <w:r>
        <w:rPr>
          <w:rFonts w:asciiTheme="minorEastAsia" w:hAnsiTheme="minorEastAsia" w:eastAsiaTheme="minorEastAsia"/>
          <w:color w:val="000000"/>
          <w:sz w:val="21"/>
          <w:szCs w:val="21"/>
          <w:shd w:val="clear" w:color="auto" w:fill="FFFFFF"/>
        </w:rPr>
        <w:t>歆冬：西安建筑科技大学教授</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中共党员</w:t>
      </w:r>
      <w:r>
        <w:rPr>
          <w:rFonts w:hint="eastAsia" w:asciiTheme="minorEastAsia" w:hAnsiTheme="minorEastAsia" w:eastAsiaTheme="minorEastAsia"/>
          <w:color w:val="000000"/>
          <w:sz w:val="21"/>
          <w:szCs w:val="21"/>
          <w:shd w:val="clear" w:color="auto" w:fill="FFFFFF"/>
        </w:rPr>
        <w:t>，研究</w:t>
      </w:r>
      <w:r>
        <w:rPr>
          <w:rFonts w:asciiTheme="minorEastAsia" w:hAnsiTheme="minorEastAsia" w:eastAsiaTheme="minorEastAsia"/>
          <w:color w:val="000000"/>
          <w:sz w:val="21"/>
          <w:szCs w:val="21"/>
          <w:shd w:val="clear" w:color="auto" w:fill="FFFFFF"/>
        </w:rPr>
        <w:t>生导师，主要研究方向</w:t>
      </w:r>
      <w:r>
        <w:rPr>
          <w:rFonts w:hint="eastAsia" w:asciiTheme="minorEastAsia" w:hAnsiTheme="minorEastAsia" w:eastAsiaTheme="minorEastAsia"/>
          <w:color w:val="000000"/>
          <w:sz w:val="21"/>
          <w:szCs w:val="21"/>
          <w:shd w:val="clear" w:color="auto" w:fill="FFFFFF"/>
        </w:rPr>
        <w:t>为</w:t>
      </w:r>
      <w:r>
        <w:rPr>
          <w:rFonts w:asciiTheme="minorEastAsia" w:hAnsiTheme="minorEastAsia" w:eastAsiaTheme="minorEastAsia"/>
          <w:color w:val="000000"/>
          <w:sz w:val="21"/>
          <w:szCs w:val="21"/>
          <w:shd w:val="clear" w:color="auto" w:fill="FFFFFF"/>
        </w:rPr>
        <w:t>建筑安全，在建筑减震隔振方面</w:t>
      </w:r>
      <w:r>
        <w:rPr>
          <w:rFonts w:hint="eastAsia" w:asciiTheme="minorEastAsia" w:hAnsiTheme="minorEastAsia" w:eastAsiaTheme="minorEastAsia"/>
          <w:color w:val="000000"/>
          <w:sz w:val="21"/>
          <w:szCs w:val="21"/>
          <w:shd w:val="clear" w:color="auto" w:fill="FFFFFF"/>
        </w:rPr>
        <w:t>颇</w:t>
      </w:r>
      <w:r>
        <w:rPr>
          <w:rFonts w:asciiTheme="minorEastAsia" w:hAnsiTheme="minorEastAsia" w:eastAsiaTheme="minorEastAsia"/>
          <w:color w:val="000000"/>
          <w:sz w:val="21"/>
          <w:szCs w:val="21"/>
          <w:shd w:val="clear" w:color="auto" w:fill="FFFFFF"/>
        </w:rPr>
        <w:t>有建树</w:t>
      </w:r>
      <w:r>
        <w:rPr>
          <w:rFonts w:hint="eastAsia" w:asciiTheme="minorEastAsia" w:hAnsiTheme="minorEastAsia" w:eastAsiaTheme="minorEastAsia"/>
          <w:color w:val="000000"/>
          <w:sz w:val="21"/>
          <w:szCs w:val="21"/>
          <w:shd w:val="clear" w:color="auto" w:fill="FFFFFF"/>
        </w:rPr>
        <w:t>，并且</w:t>
      </w:r>
      <w:r>
        <w:rPr>
          <w:rFonts w:asciiTheme="minorEastAsia" w:hAnsiTheme="minorEastAsia" w:eastAsiaTheme="minorEastAsia"/>
          <w:color w:val="000000"/>
          <w:sz w:val="21"/>
          <w:szCs w:val="21"/>
          <w:shd w:val="clear" w:color="auto" w:fill="FFFFFF"/>
        </w:rPr>
        <w:t>有美国游学经历</w:t>
      </w:r>
      <w:r>
        <w:rPr>
          <w:rFonts w:hint="eastAsia" w:asciiTheme="minorEastAsia" w:hAnsiTheme="minorEastAsia" w:eastAsiaTheme="minorEastAsia"/>
          <w:color w:val="000000"/>
          <w:sz w:val="21"/>
          <w:szCs w:val="21"/>
          <w:shd w:val="clear" w:color="auto" w:fill="FFFFFF"/>
        </w:rPr>
        <w:t>，负责编制及评审建筑安全专篇及评估报告，并先后编制了多个建筑安全专篇评估报告，并顺利通过了国家或地方安全监察部门的审查</w:t>
      </w:r>
      <w:r>
        <w:rPr>
          <w:rFonts w:asciiTheme="minorEastAsia" w:hAnsiTheme="minorEastAsia" w:eastAsiaTheme="minorEastAsia"/>
          <w:color w:val="000000"/>
          <w:sz w:val="21"/>
          <w:szCs w:val="21"/>
          <w:shd w:val="clear" w:color="auto" w:fill="FFFFFF"/>
        </w:rPr>
        <w:t>。</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为了</w:t>
      </w:r>
      <w:r>
        <w:rPr>
          <w:rFonts w:asciiTheme="minorEastAsia" w:hAnsiTheme="minorEastAsia" w:eastAsiaTheme="minorEastAsia"/>
          <w:color w:val="000000"/>
          <w:sz w:val="21"/>
          <w:szCs w:val="21"/>
          <w:shd w:val="clear" w:color="auto" w:fill="FFFFFF"/>
        </w:rPr>
        <w:t>保障</w:t>
      </w:r>
      <w:r>
        <w:rPr>
          <w:rFonts w:hint="eastAsia" w:asciiTheme="minorEastAsia" w:hAnsiTheme="minorEastAsia" w:eastAsiaTheme="minorEastAsia"/>
          <w:color w:val="000000"/>
          <w:sz w:val="21"/>
          <w:szCs w:val="21"/>
          <w:shd w:val="clear" w:color="auto" w:fill="FFFFFF"/>
        </w:rPr>
        <w:t>《安全</w:t>
      </w:r>
      <w:r>
        <w:rPr>
          <w:rFonts w:asciiTheme="minorEastAsia" w:hAnsiTheme="minorEastAsia" w:eastAsiaTheme="minorEastAsia"/>
          <w:color w:val="000000"/>
          <w:sz w:val="21"/>
          <w:szCs w:val="21"/>
          <w:shd w:val="clear" w:color="auto" w:fill="FFFFFF"/>
        </w:rPr>
        <w:t>技术与</w:t>
      </w:r>
      <w:r>
        <w:rPr>
          <w:rFonts w:hint="eastAsia" w:asciiTheme="minorEastAsia" w:hAnsiTheme="minorEastAsia" w:eastAsiaTheme="minorEastAsia"/>
          <w:color w:val="000000"/>
          <w:sz w:val="21"/>
          <w:szCs w:val="21"/>
          <w:shd w:val="clear" w:color="auto" w:fill="FFFFFF"/>
        </w:rPr>
        <w:t>管理》（</w:t>
      </w:r>
      <w:r>
        <w:rPr>
          <w:rFonts w:asciiTheme="minorEastAsia" w:hAnsiTheme="minorEastAsia" w:eastAsiaTheme="minorEastAsia"/>
          <w:color w:val="000000"/>
          <w:sz w:val="21"/>
          <w:szCs w:val="21"/>
          <w:shd w:val="clear" w:color="auto" w:fill="FFFFFF"/>
        </w:rPr>
        <w:t>专科）专业</w:t>
      </w:r>
      <w:r>
        <w:rPr>
          <w:rFonts w:hint="eastAsia" w:asciiTheme="minorEastAsia" w:hAnsiTheme="minorEastAsia" w:eastAsiaTheme="minorEastAsia"/>
          <w:color w:val="000000"/>
          <w:sz w:val="21"/>
          <w:szCs w:val="21"/>
          <w:shd w:val="clear" w:color="auto" w:fill="FFFFFF"/>
        </w:rPr>
        <w:t>的</w:t>
      </w:r>
      <w:r>
        <w:rPr>
          <w:rFonts w:asciiTheme="minorEastAsia" w:hAnsiTheme="minorEastAsia" w:eastAsiaTheme="minorEastAsia"/>
          <w:color w:val="000000"/>
          <w:sz w:val="21"/>
          <w:szCs w:val="21"/>
          <w:shd w:val="clear" w:color="auto" w:fill="FFFFFF"/>
        </w:rPr>
        <w:t>各项</w:t>
      </w:r>
      <w:r>
        <w:rPr>
          <w:rFonts w:hint="eastAsia" w:asciiTheme="minorEastAsia" w:hAnsiTheme="minorEastAsia" w:eastAsiaTheme="minorEastAsia"/>
          <w:color w:val="000000"/>
          <w:sz w:val="21"/>
          <w:szCs w:val="21"/>
          <w:shd w:val="clear" w:color="auto" w:fill="FFFFFF"/>
        </w:rPr>
        <w:t>工作</w:t>
      </w:r>
      <w:r>
        <w:rPr>
          <w:rFonts w:asciiTheme="minorEastAsia" w:hAnsiTheme="minorEastAsia" w:eastAsiaTheme="minorEastAsia"/>
          <w:color w:val="000000"/>
          <w:sz w:val="21"/>
          <w:szCs w:val="21"/>
          <w:shd w:val="clear" w:color="auto" w:fill="FFFFFF"/>
        </w:rPr>
        <w:t>的顺利开展，特成立了专业</w:t>
      </w:r>
      <w:r>
        <w:rPr>
          <w:rFonts w:hint="eastAsia" w:asciiTheme="minorEastAsia" w:hAnsiTheme="minorEastAsia" w:eastAsiaTheme="minorEastAsia"/>
          <w:color w:val="000000"/>
          <w:sz w:val="21"/>
          <w:szCs w:val="21"/>
          <w:shd w:val="clear" w:color="auto" w:fill="FFFFFF"/>
        </w:rPr>
        <w:t>建设</w:t>
      </w:r>
      <w:r>
        <w:rPr>
          <w:rFonts w:asciiTheme="minorEastAsia" w:hAnsiTheme="minorEastAsia" w:eastAsiaTheme="minorEastAsia"/>
          <w:color w:val="000000"/>
          <w:sz w:val="21"/>
          <w:szCs w:val="21"/>
          <w:shd w:val="clear" w:color="auto" w:fill="FFFFFF"/>
        </w:rPr>
        <w:t>队伍团队</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具体师资情况详见</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 xml:space="preserve">表1 </w:t>
      </w:r>
      <w:r>
        <w:rPr>
          <w:rFonts w:hint="eastAsia" w:asciiTheme="minorEastAsia" w:hAnsiTheme="minorEastAsia" w:eastAsiaTheme="minorEastAsia"/>
          <w:color w:val="000000"/>
          <w:sz w:val="21"/>
          <w:szCs w:val="21"/>
          <w:shd w:val="clear" w:color="auto" w:fill="FFFFFF"/>
        </w:rPr>
        <w:t>《安全</w:t>
      </w:r>
      <w:r>
        <w:rPr>
          <w:rFonts w:asciiTheme="minorEastAsia" w:hAnsiTheme="minorEastAsia" w:eastAsiaTheme="minorEastAsia"/>
          <w:color w:val="000000"/>
          <w:sz w:val="21"/>
          <w:szCs w:val="21"/>
          <w:shd w:val="clear" w:color="auto" w:fill="FFFFFF"/>
        </w:rPr>
        <w:t>技术与</w:t>
      </w:r>
      <w:r>
        <w:rPr>
          <w:rFonts w:hint="eastAsia" w:asciiTheme="minorEastAsia" w:hAnsiTheme="minorEastAsia" w:eastAsiaTheme="minorEastAsia"/>
          <w:color w:val="000000"/>
          <w:sz w:val="21"/>
          <w:szCs w:val="21"/>
          <w:shd w:val="clear" w:color="auto" w:fill="FFFFFF"/>
        </w:rPr>
        <w:t>管理》</w:t>
      </w:r>
      <w:r>
        <w:rPr>
          <w:rFonts w:asciiTheme="minorEastAsia" w:hAnsiTheme="minorEastAsia" w:eastAsiaTheme="minorEastAsia"/>
          <w:color w:val="000000"/>
          <w:sz w:val="21"/>
          <w:szCs w:val="21"/>
          <w:shd w:val="clear" w:color="auto" w:fill="FFFFFF"/>
        </w:rPr>
        <w:t>专业</w:t>
      </w:r>
      <w:r>
        <w:rPr>
          <w:rFonts w:hint="eastAsia" w:asciiTheme="minorEastAsia" w:hAnsiTheme="minorEastAsia" w:eastAsiaTheme="minorEastAsia"/>
          <w:color w:val="000000"/>
          <w:sz w:val="21"/>
          <w:szCs w:val="21"/>
          <w:shd w:val="clear" w:color="auto" w:fill="FFFFFF"/>
        </w:rPr>
        <w:t>资源建设师资队伍基本信息表”</w:t>
      </w:r>
    </w:p>
    <w:p>
      <w:pPr>
        <w:spacing w:beforeLines="50" w:afterLines="50"/>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表1 《安全</w:t>
      </w:r>
      <w:r>
        <w:rPr>
          <w:rFonts w:asciiTheme="minorEastAsia" w:hAnsiTheme="minorEastAsia" w:eastAsiaTheme="minorEastAsia"/>
          <w:b/>
          <w:sz w:val="21"/>
          <w:szCs w:val="21"/>
        </w:rPr>
        <w:t>技术与</w:t>
      </w:r>
      <w:r>
        <w:rPr>
          <w:rFonts w:hint="eastAsia" w:asciiTheme="minorEastAsia" w:hAnsiTheme="minorEastAsia" w:eastAsiaTheme="minorEastAsia"/>
          <w:b/>
          <w:sz w:val="21"/>
          <w:szCs w:val="21"/>
        </w:rPr>
        <w:t>管理》</w:t>
      </w:r>
      <w:r>
        <w:rPr>
          <w:rFonts w:asciiTheme="minorEastAsia" w:hAnsiTheme="minorEastAsia" w:eastAsiaTheme="minorEastAsia"/>
          <w:b/>
          <w:sz w:val="21"/>
          <w:szCs w:val="21"/>
        </w:rPr>
        <w:t>专业</w:t>
      </w:r>
      <w:r>
        <w:rPr>
          <w:rFonts w:hint="eastAsia" w:asciiTheme="minorEastAsia" w:hAnsiTheme="minorEastAsia" w:eastAsiaTheme="minorEastAsia"/>
          <w:b/>
          <w:sz w:val="21"/>
          <w:szCs w:val="21"/>
        </w:rPr>
        <w:t>资源建设师资队伍基本信息表</w:t>
      </w:r>
    </w:p>
    <w:tbl>
      <w:tblPr>
        <w:tblStyle w:val="16"/>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8"/>
        <w:gridCol w:w="708"/>
        <w:gridCol w:w="993"/>
        <w:gridCol w:w="1560"/>
        <w:gridCol w:w="1269"/>
        <w:gridCol w:w="1707"/>
        <w:gridCol w:w="127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序号</w:t>
            </w:r>
          </w:p>
        </w:tc>
        <w:tc>
          <w:tcPr>
            <w:tcW w:w="998"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姓名</w:t>
            </w:r>
          </w:p>
        </w:tc>
        <w:tc>
          <w:tcPr>
            <w:tcW w:w="708"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性别</w:t>
            </w:r>
          </w:p>
        </w:tc>
        <w:tc>
          <w:tcPr>
            <w:tcW w:w="993"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职称</w:t>
            </w:r>
          </w:p>
        </w:tc>
        <w:tc>
          <w:tcPr>
            <w:tcW w:w="1560"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学术专长</w:t>
            </w:r>
          </w:p>
        </w:tc>
        <w:tc>
          <w:tcPr>
            <w:tcW w:w="1269"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学历学位</w:t>
            </w:r>
          </w:p>
        </w:tc>
        <w:tc>
          <w:tcPr>
            <w:tcW w:w="1707"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毕业院校</w:t>
            </w:r>
          </w:p>
        </w:tc>
        <w:tc>
          <w:tcPr>
            <w:tcW w:w="1275"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专业</w:t>
            </w:r>
          </w:p>
        </w:tc>
        <w:tc>
          <w:tcPr>
            <w:tcW w:w="1554" w:type="dxa"/>
            <w:shd w:val="clear" w:color="000000" w:fill="auto"/>
            <w:vAlign w:val="center"/>
          </w:tcPr>
          <w:p>
            <w:pPr>
              <w:widowControl/>
              <w:ind w:firstLine="0" w:firstLineChars="0"/>
              <w:jc w:val="center"/>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widowControl/>
              <w:numPr>
                <w:ilvl w:val="0"/>
                <w:numId w:val="2"/>
              </w:numPr>
              <w:ind w:firstLineChars="0"/>
              <w:jc w:val="center"/>
              <w:rPr>
                <w:rFonts w:asciiTheme="minorEastAsia" w:hAnsiTheme="minorEastAsia" w:eastAsiaTheme="minorEastAsia"/>
                <w:sz w:val="21"/>
                <w:szCs w:val="21"/>
              </w:rPr>
            </w:pPr>
          </w:p>
        </w:tc>
        <w:tc>
          <w:tcPr>
            <w:tcW w:w="998"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sz w:val="21"/>
                <w:szCs w:val="21"/>
              </w:rPr>
              <w:t>林海飞</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教授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color w:val="333333"/>
                <w:sz w:val="21"/>
                <w:szCs w:val="21"/>
                <w:shd w:val="clear" w:color="auto" w:fill="FFFFFF"/>
              </w:rPr>
              <w:t>安全工程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博士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西安交通大学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sz w:val="21"/>
                <w:szCs w:val="21"/>
              </w:rPr>
              <w:t>安全技术及工程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朱军强</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教授</w:t>
            </w:r>
          </w:p>
        </w:tc>
        <w:tc>
          <w:tcPr>
            <w:tcW w:w="1560"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建筑结构安全工程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博士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结构工程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赵祥</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副教授</w:t>
            </w:r>
          </w:p>
        </w:tc>
        <w:tc>
          <w:tcPr>
            <w:tcW w:w="1560"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建筑结构安全工程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博士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结构工程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马乐为</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教授</w:t>
            </w:r>
          </w:p>
        </w:tc>
        <w:tc>
          <w:tcPr>
            <w:tcW w:w="1560"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建筑结构安全工程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博士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结构工程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刘健康</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高级工程师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防灾减灾安全工程</w:t>
            </w:r>
          </w:p>
        </w:tc>
        <w:tc>
          <w:tcPr>
            <w:tcW w:w="1269"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硕士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防灾减灾及防护工程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中煤西安设计工程有限责任公司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张振宇</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高级工程师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防灾减灾安全工程</w:t>
            </w:r>
          </w:p>
        </w:tc>
        <w:tc>
          <w:tcPr>
            <w:tcW w:w="1269"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硕士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防灾减灾及防护工程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中煤西安设计工程有限责任公司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吕振</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男</w:t>
            </w:r>
          </w:p>
        </w:tc>
        <w:tc>
          <w:tcPr>
            <w:tcW w:w="993"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注册安全工程师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安全工程</w:t>
            </w:r>
          </w:p>
        </w:tc>
        <w:tc>
          <w:tcPr>
            <w:tcW w:w="1269"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硕士</w:t>
            </w:r>
          </w:p>
        </w:tc>
        <w:tc>
          <w:tcPr>
            <w:tcW w:w="1707"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西安建筑科技大学</w:t>
            </w:r>
          </w:p>
        </w:tc>
        <w:tc>
          <w:tcPr>
            <w:tcW w:w="1275"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防灾减灾及防护工程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中煤西安设计工程有限责任公司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杨彩霖</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女</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副教授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计算机应用技术</w:t>
            </w:r>
          </w:p>
        </w:tc>
        <w:tc>
          <w:tcPr>
            <w:tcW w:w="1269"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西安科技大学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计算机应用</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严峥嵘</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女</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讲师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西安建筑科技大学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侯新昌</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男</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副教授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数学</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学士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sz w:val="21"/>
                <w:szCs w:val="21"/>
              </w:rPr>
              <w:t>西北大学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数学</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王青</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女</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讲师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西安建筑科技大学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曹婷帅</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女</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讲师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西安建筑科技大学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高迎社</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男</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讲师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西安建筑科技大学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土木工程</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numPr>
                <w:ilvl w:val="0"/>
                <w:numId w:val="2"/>
              </w:numPr>
              <w:ind w:firstLineChars="0"/>
              <w:jc w:val="center"/>
              <w:rPr>
                <w:rFonts w:asciiTheme="minorEastAsia" w:hAnsiTheme="minorEastAsia" w:eastAsiaTheme="minorEastAsia"/>
                <w:sz w:val="21"/>
                <w:szCs w:val="21"/>
              </w:rPr>
            </w:pPr>
          </w:p>
        </w:tc>
        <w:tc>
          <w:tcPr>
            <w:tcW w:w="99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韩喜春</w:t>
            </w:r>
          </w:p>
        </w:tc>
        <w:tc>
          <w:tcPr>
            <w:tcW w:w="708"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女</w:t>
            </w:r>
          </w:p>
        </w:tc>
        <w:tc>
          <w:tcPr>
            <w:tcW w:w="993"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讲师</w:t>
            </w:r>
          </w:p>
        </w:tc>
        <w:tc>
          <w:tcPr>
            <w:tcW w:w="1560"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英语</w:t>
            </w:r>
          </w:p>
        </w:tc>
        <w:tc>
          <w:tcPr>
            <w:tcW w:w="1269"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kern w:val="0"/>
                <w:sz w:val="21"/>
                <w:szCs w:val="21"/>
              </w:rPr>
              <w:t>硕士</w:t>
            </w:r>
          </w:p>
        </w:tc>
        <w:tc>
          <w:tcPr>
            <w:tcW w:w="1707" w:type="dxa"/>
            <w:vAlign w:val="center"/>
          </w:tcPr>
          <w:p>
            <w:pPr>
              <w:widowControl/>
              <w:ind w:firstLine="0" w:firstLineChars="0"/>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西北师范大学</w:t>
            </w:r>
          </w:p>
        </w:tc>
        <w:tc>
          <w:tcPr>
            <w:tcW w:w="1275" w:type="dxa"/>
            <w:vAlign w:val="center"/>
          </w:tcPr>
          <w:p>
            <w:pPr>
              <w:widowControl/>
              <w:ind w:firstLine="0" w:firstLineChars="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英语</w:t>
            </w:r>
          </w:p>
        </w:tc>
        <w:tc>
          <w:tcPr>
            <w:tcW w:w="1554" w:type="dxa"/>
            <w:vAlign w:val="center"/>
          </w:tcPr>
          <w:p>
            <w:pPr>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西安广播电视大学</w:t>
            </w:r>
          </w:p>
        </w:tc>
      </w:tr>
    </w:tbl>
    <w:p>
      <w:pPr>
        <w:pStyle w:val="10"/>
        <w:spacing w:line="360" w:lineRule="auto"/>
        <w:ind w:firstLine="422"/>
        <w:rPr>
          <w:rFonts w:asciiTheme="minorEastAsia" w:hAnsiTheme="minorEastAsia" w:eastAsiaTheme="minorEastAsia"/>
          <w:b w:val="0"/>
          <w:sz w:val="21"/>
          <w:szCs w:val="21"/>
        </w:rPr>
      </w:pPr>
      <w:bookmarkStart w:id="12" w:name="_Toc454441803"/>
      <w:r>
        <w:rPr>
          <w:rFonts w:cs="Times New Roman" w:asciiTheme="minorEastAsia" w:hAnsiTheme="minorEastAsia" w:eastAsiaTheme="minorEastAsia"/>
          <w:sz w:val="21"/>
          <w:szCs w:val="21"/>
        </w:rPr>
        <w:t>5.</w:t>
      </w:r>
      <w:r>
        <w:rPr>
          <w:rFonts w:hint="eastAsia" w:asciiTheme="minorEastAsia" w:hAnsiTheme="minorEastAsia" w:eastAsiaTheme="minorEastAsia"/>
          <w:sz w:val="21"/>
          <w:szCs w:val="21"/>
        </w:rPr>
        <w:t>办学</w:t>
      </w:r>
      <w:r>
        <w:rPr>
          <w:rFonts w:asciiTheme="minorEastAsia" w:hAnsiTheme="minorEastAsia" w:eastAsiaTheme="minorEastAsia"/>
          <w:sz w:val="21"/>
          <w:szCs w:val="21"/>
        </w:rPr>
        <w:t>优势</w:t>
      </w:r>
      <w:bookmarkEnd w:id="12"/>
    </w:p>
    <w:p>
      <w:pPr>
        <w:adjustRightInd w:val="0"/>
        <w:snapToGrid w:val="0"/>
        <w:ind w:firstLine="422"/>
        <w:rPr>
          <w:rFonts w:cs="Arial" w:asciiTheme="minorEastAsia" w:hAnsiTheme="minorEastAsia" w:eastAsiaTheme="minorEastAsia"/>
          <w:b/>
          <w:color w:val="000000" w:themeColor="text1"/>
          <w:sz w:val="21"/>
          <w:szCs w:val="21"/>
        </w:rPr>
      </w:pPr>
      <w:r>
        <w:rPr>
          <w:rFonts w:cs="Arial" w:asciiTheme="minorEastAsia" w:hAnsiTheme="minorEastAsia" w:eastAsiaTheme="minorEastAsia"/>
          <w:b/>
          <w:color w:val="000000" w:themeColor="text1"/>
          <w:sz w:val="21"/>
          <w:szCs w:val="21"/>
        </w:rPr>
        <w:t>（</w:t>
      </w:r>
      <w:r>
        <w:rPr>
          <w:rFonts w:hint="eastAsia" w:cs="Arial" w:asciiTheme="minorEastAsia" w:hAnsiTheme="minorEastAsia" w:eastAsiaTheme="minorEastAsia"/>
          <w:b/>
          <w:color w:val="000000" w:themeColor="text1"/>
          <w:sz w:val="21"/>
          <w:szCs w:val="21"/>
        </w:rPr>
        <w:t>1</w:t>
      </w:r>
      <w:r>
        <w:rPr>
          <w:rFonts w:cs="Arial" w:asciiTheme="minorEastAsia" w:hAnsiTheme="minorEastAsia" w:eastAsiaTheme="minorEastAsia"/>
          <w:b/>
          <w:color w:val="000000" w:themeColor="text1"/>
          <w:sz w:val="21"/>
          <w:szCs w:val="21"/>
        </w:rPr>
        <w:t>）实力较强的办学实体</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国家开放大学西安分部是一所以现代信息技术为主要手段，采用广播电视、文字和音像教材、计算机网络等多种现代化媒体，进行远程学历教育和非学历继续教育的综合性开放大学，是全国</w:t>
      </w:r>
      <w:r>
        <w:rPr>
          <w:rFonts w:asciiTheme="minorEastAsia" w:hAnsiTheme="minorEastAsia" w:eastAsiaTheme="minorEastAsia"/>
          <w:color w:val="000000"/>
          <w:sz w:val="21"/>
          <w:szCs w:val="21"/>
          <w:shd w:val="clear" w:color="auto" w:fill="FFFFFF"/>
        </w:rPr>
        <w:t>44</w:t>
      </w:r>
      <w:r>
        <w:rPr>
          <w:rFonts w:hint="eastAsia" w:asciiTheme="minorEastAsia" w:hAnsiTheme="minorEastAsia" w:eastAsiaTheme="minorEastAsia"/>
          <w:color w:val="000000"/>
          <w:sz w:val="21"/>
          <w:szCs w:val="21"/>
          <w:shd w:val="clear" w:color="auto" w:fill="FFFFFF"/>
        </w:rPr>
        <w:t>所省级电大之一。国家开放大学西安分部由陕西省人民政府批准，西安市人民政府主办，西安市教育局主管，业务上接受国家开放大学（原中央广播电视大学）指导。主要承担开放教育（本专科）、成人大中专教育、奥鹏远程教育、社区教育、干部网络教育、残疾人教育、职业教育、继续教育等多规格、多层次的学历教育和非学历教育。开设理工、文法、财经、外语、医学、艺术等六类</w:t>
      </w:r>
      <w:r>
        <w:rPr>
          <w:rFonts w:asciiTheme="minorEastAsia" w:hAnsiTheme="minorEastAsia" w:eastAsiaTheme="minorEastAsia"/>
          <w:color w:val="000000"/>
          <w:sz w:val="21"/>
          <w:szCs w:val="21"/>
          <w:shd w:val="clear" w:color="auto" w:fill="FFFFFF"/>
        </w:rPr>
        <w:t>86个专业（其中开放教育本科专业21个、专科专业43个；成人大中专教育专科专业22个），现各类学历教育在校生达6.1万人，非学历继续教育年培训达5</w:t>
      </w:r>
      <w:r>
        <w:rPr>
          <w:rFonts w:hint="eastAsia" w:asciiTheme="minorEastAsia" w:hAnsiTheme="minorEastAsia" w:eastAsiaTheme="minorEastAsia"/>
          <w:color w:val="000000"/>
          <w:sz w:val="21"/>
          <w:szCs w:val="21"/>
          <w:shd w:val="clear" w:color="auto" w:fill="FFFFFF"/>
        </w:rPr>
        <w:t>余万人次。</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w:t>
      </w:r>
      <w:r>
        <w:rPr>
          <w:rFonts w:asciiTheme="minorEastAsia" w:hAnsiTheme="minorEastAsia" w:eastAsiaTheme="minorEastAsia"/>
          <w:color w:val="000000"/>
          <w:sz w:val="21"/>
          <w:szCs w:val="21"/>
          <w:shd w:val="clear" w:color="auto" w:fill="FFFFFF"/>
        </w:rPr>
        <w:t>办学历史悠久，办学实力较强，为创办网络工程专业提供了充分准备，办学三十多年来，</w:t>
      </w:r>
      <w:r>
        <w:rPr>
          <w:rFonts w:hint="eastAsia" w:asciiTheme="minorEastAsia" w:hAnsiTheme="minorEastAsia" w:eastAsiaTheme="minorEastAsia"/>
          <w:color w:val="000000"/>
          <w:sz w:val="21"/>
          <w:szCs w:val="21"/>
          <w:shd w:val="clear" w:color="auto" w:fill="FFFFFF"/>
        </w:rPr>
        <w:t>国家开放大学西安分部</w:t>
      </w:r>
      <w:r>
        <w:rPr>
          <w:rFonts w:asciiTheme="minorEastAsia" w:hAnsiTheme="minorEastAsia" w:eastAsiaTheme="minorEastAsia"/>
          <w:color w:val="000000"/>
          <w:sz w:val="21"/>
          <w:szCs w:val="21"/>
          <w:shd w:val="clear" w:color="auto" w:fill="FFFFFF"/>
        </w:rPr>
        <w:t>已向社会输送了一大批实用型高等专门人才。此外，还进行了2万人次的各类岗位专业技术培训，国家开放大学西安分部的毕业生已遍及西安市乃至全省各行各业，有的成为行业或行政领导，有的成为教授、工程师、将军、体育冠军、报刊主编等业务骨干，为当地经济建设和社会发展奉献了自己的才华，做出了积极贡献，并赢得了良好社会声誉。建校三十多年来，</w:t>
      </w:r>
      <w:r>
        <w:rPr>
          <w:rFonts w:hint="eastAsia" w:asciiTheme="minorEastAsia" w:hAnsiTheme="minorEastAsia" w:eastAsiaTheme="minorEastAsia"/>
          <w:color w:val="000000"/>
          <w:sz w:val="21"/>
          <w:szCs w:val="21"/>
          <w:shd w:val="clear" w:color="auto" w:fill="FFFFFF"/>
        </w:rPr>
        <w:t>国家开放大学西安分部</w:t>
      </w:r>
      <w:r>
        <w:rPr>
          <w:rFonts w:asciiTheme="minorEastAsia" w:hAnsiTheme="minorEastAsia" w:eastAsiaTheme="minorEastAsia"/>
          <w:color w:val="000000"/>
          <w:sz w:val="21"/>
          <w:szCs w:val="21"/>
          <w:shd w:val="clear" w:color="auto" w:fill="FFFFFF"/>
        </w:rPr>
        <w:t>始终坚持以当地社会经济建设需求的人才为培养原则，以科学严谨的治学、可靠的教学质量、一流的教学设施和师资队伍以及覆盖城乡的教学网络优势为依托，现已发展成为西安现代远程教育的一支主力军</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为西安地区的人才培养、经济发展和社会进步做出了应有的贡献。西安广播电视大学下设有分校、工作站和学习中心，办学触角遍及西安城乡，建立了较为周全的系统办学网络，为不同地域的求学者提供了方便的教学支持服务。</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紧密结合西安市社会经济文化发展的需要，形成了“布局合理、覆盖全市”的现代远程开放教育办学网络，办学触角遍布西安城乡，为不同区域的人群提供方便的终身学习服务。在原有五家直属分校的基础上，为保证办学盲点的全覆盖及专业性区域发展需要，增设八所直属学习中心。进一步拉大办学骨架，拓展</w:t>
      </w:r>
      <w:r>
        <w:rPr>
          <w:rFonts w:asciiTheme="minorEastAsia" w:hAnsiTheme="minorEastAsia" w:eastAsiaTheme="minorEastAsia"/>
          <w:color w:val="000000"/>
          <w:sz w:val="21"/>
          <w:szCs w:val="21"/>
          <w:shd w:val="clear" w:color="auto" w:fill="FFFFFF"/>
        </w:rPr>
        <w:t>招生领域</w:t>
      </w:r>
      <w:r>
        <w:rPr>
          <w:rFonts w:hint="eastAsia" w:asciiTheme="minorEastAsia" w:hAnsiTheme="minorEastAsia" w:eastAsiaTheme="minorEastAsia"/>
          <w:color w:val="000000"/>
          <w:sz w:val="21"/>
          <w:szCs w:val="21"/>
          <w:shd w:val="clear" w:color="auto" w:fill="FFFFFF"/>
        </w:rPr>
        <w:t>。</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国家开放大学西安分部高度重视信息化硬件设施的建设，投入了大量的建设资金，为学校教学及教学管理提供了有力支撑。现有虚拟演播室两间、电子屏演播室一间，录播教室一间、云教室三</w:t>
      </w:r>
      <w:r>
        <w:rPr>
          <w:rFonts w:asciiTheme="minorEastAsia" w:hAnsiTheme="minorEastAsia" w:eastAsiaTheme="minorEastAsia"/>
          <w:color w:val="000000"/>
          <w:sz w:val="21"/>
          <w:szCs w:val="21"/>
          <w:shd w:val="clear" w:color="auto" w:fill="FFFFFF"/>
        </w:rPr>
        <w:t>间</w:t>
      </w:r>
      <w:r>
        <w:rPr>
          <w:rFonts w:hint="eastAsia" w:asciiTheme="minorEastAsia" w:hAnsiTheme="minorEastAsia" w:eastAsiaTheme="minorEastAsia"/>
          <w:color w:val="000000"/>
          <w:sz w:val="21"/>
          <w:szCs w:val="21"/>
          <w:shd w:val="clear" w:color="auto" w:fill="FFFFFF"/>
        </w:rPr>
        <w:t>；多媒体教室</w:t>
      </w:r>
      <w:r>
        <w:rPr>
          <w:rFonts w:asciiTheme="minorEastAsia" w:hAnsiTheme="minorEastAsia" w:eastAsiaTheme="minorEastAsia"/>
          <w:color w:val="000000"/>
          <w:sz w:val="21"/>
          <w:szCs w:val="21"/>
          <w:shd w:val="clear" w:color="auto" w:fill="FFFFFF"/>
        </w:rPr>
        <w:t>45间；采用中国电信100M宽带接入，校园网千兆主干，百兆桌面；搭建了“一库多网”中心机房，配备有核心交换机、应用服务器、存储等设施，建立有负载均衡机制、虚拟化应用系统和</w:t>
      </w:r>
      <w:r>
        <w:rPr>
          <w:rFonts w:hint="eastAsia" w:asciiTheme="minorEastAsia" w:hAnsiTheme="minorEastAsia" w:eastAsiaTheme="minorEastAsia"/>
          <w:color w:val="000000"/>
          <w:sz w:val="21"/>
          <w:szCs w:val="21"/>
          <w:shd w:val="clear" w:color="auto" w:fill="FFFFFF"/>
        </w:rPr>
        <w:t>P2P流媒体系统。</w:t>
      </w:r>
    </w:p>
    <w:p>
      <w:pPr>
        <w:adjustRightInd w:val="0"/>
        <w:snapToGrid w:val="0"/>
        <w:ind w:firstLine="316" w:firstLineChars="150"/>
        <w:rPr>
          <w:rFonts w:asciiTheme="minorEastAsia" w:hAnsiTheme="minorEastAsia" w:eastAsiaTheme="minorEastAsia"/>
          <w:b/>
          <w:color w:val="000000" w:themeColor="text1"/>
          <w:sz w:val="21"/>
          <w:szCs w:val="21"/>
        </w:rPr>
      </w:pPr>
      <w:r>
        <w:rPr>
          <w:rFonts w:cs="Arial" w:asciiTheme="minorEastAsia" w:hAnsiTheme="minorEastAsia" w:eastAsiaTheme="minorEastAsia"/>
          <w:b/>
          <w:color w:val="000000" w:themeColor="text1"/>
          <w:sz w:val="21"/>
          <w:szCs w:val="21"/>
        </w:rPr>
        <w:t>（</w:t>
      </w:r>
      <w:r>
        <w:rPr>
          <w:rFonts w:asciiTheme="minorEastAsia" w:hAnsiTheme="minorEastAsia" w:eastAsiaTheme="minorEastAsia"/>
          <w:b/>
          <w:color w:val="000000" w:themeColor="text1"/>
          <w:sz w:val="21"/>
          <w:szCs w:val="21"/>
        </w:rPr>
        <w:t>2）具有力量雄厚的教学、资源建设、科研队伍</w:t>
      </w:r>
    </w:p>
    <w:p>
      <w:pPr>
        <w:adjustRightInd w:val="0"/>
        <w:snapToGrid w:val="0"/>
        <w:ind w:firstLine="422"/>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fldChar w:fldCharType="begin"/>
      </w:r>
      <w:r>
        <w:rPr>
          <w:rFonts w:asciiTheme="minorEastAsia" w:hAnsiTheme="minorEastAsia" w:eastAsiaTheme="minorEastAsia"/>
          <w:b/>
          <w:color w:val="000000" w:themeColor="text1"/>
          <w:sz w:val="21"/>
          <w:szCs w:val="21"/>
        </w:rPr>
        <w:instrText xml:space="preserve"> = 1 \* GB3 </w:instrText>
      </w:r>
      <w:r>
        <w:rPr>
          <w:rFonts w:asciiTheme="minorEastAsia" w:hAnsiTheme="minorEastAsia" w:eastAsiaTheme="minorEastAsia"/>
          <w:b/>
          <w:color w:val="000000" w:themeColor="text1"/>
          <w:sz w:val="21"/>
          <w:szCs w:val="21"/>
        </w:rPr>
        <w:fldChar w:fldCharType="separate"/>
      </w:r>
      <w:r>
        <w:rPr>
          <w:rFonts w:hint="eastAsia" w:cs="宋体" w:asciiTheme="minorEastAsia" w:hAnsiTheme="minorEastAsia" w:eastAsiaTheme="minorEastAsia"/>
          <w:b/>
          <w:color w:val="000000" w:themeColor="text1"/>
          <w:sz w:val="21"/>
          <w:szCs w:val="21"/>
        </w:rPr>
        <w:t>①</w:t>
      </w:r>
      <w:r>
        <w:rPr>
          <w:rFonts w:asciiTheme="minorEastAsia" w:hAnsiTheme="minorEastAsia" w:eastAsiaTheme="minorEastAsia"/>
          <w:b/>
          <w:color w:val="000000" w:themeColor="text1"/>
          <w:sz w:val="21"/>
          <w:szCs w:val="21"/>
        </w:rPr>
        <w:fldChar w:fldCharType="end"/>
      </w:r>
      <w:r>
        <w:rPr>
          <w:rFonts w:asciiTheme="minorEastAsia" w:hAnsiTheme="minorEastAsia" w:eastAsiaTheme="minorEastAsia"/>
          <w:b/>
          <w:color w:val="000000" w:themeColor="text1"/>
          <w:sz w:val="21"/>
          <w:szCs w:val="21"/>
        </w:rPr>
        <w:t>教学团队</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国家开放大学西安分部成立了专业建设团队，专兼职教师共12人，其中高级职称的有6人，中级职称为6人，均具有硕士以上学</w:t>
      </w:r>
      <w:r>
        <w:rPr>
          <w:rFonts w:hint="eastAsia" w:asciiTheme="minorEastAsia" w:hAnsiTheme="minorEastAsia" w:eastAsiaTheme="minorEastAsia"/>
          <w:color w:val="000000"/>
          <w:sz w:val="21"/>
          <w:szCs w:val="21"/>
          <w:shd w:val="clear" w:color="auto" w:fill="FFFFFF"/>
        </w:rPr>
        <w:t>历</w:t>
      </w:r>
      <w:r>
        <w:rPr>
          <w:rFonts w:asciiTheme="minorEastAsia" w:hAnsiTheme="minorEastAsia" w:eastAsiaTheme="minorEastAsia"/>
          <w:color w:val="000000"/>
          <w:sz w:val="21"/>
          <w:szCs w:val="21"/>
          <w:shd w:val="clear" w:color="auto" w:fill="FFFFFF"/>
        </w:rPr>
        <w:t>。专业建设成员由普通高校和电大系统的专兼职教师组成，特聘请西安建筑科技大学的安全工程专业的三位教授作为本专业的顾问，西安科技大学的一位教授作为专业建设学科带头人。</w:t>
      </w:r>
      <w:r>
        <w:rPr>
          <w:rFonts w:hint="eastAsia" w:asciiTheme="minorEastAsia" w:hAnsiTheme="minorEastAsia" w:eastAsiaTheme="minorEastAsia"/>
          <w:color w:val="000000"/>
          <w:sz w:val="21"/>
          <w:szCs w:val="21"/>
          <w:shd w:val="clear" w:color="auto" w:fill="FFFFFF"/>
        </w:rPr>
        <w:t>其余成员</w:t>
      </w:r>
      <w:r>
        <w:rPr>
          <w:rFonts w:asciiTheme="minorEastAsia" w:hAnsiTheme="minorEastAsia" w:eastAsiaTheme="minorEastAsia"/>
          <w:color w:val="000000"/>
          <w:sz w:val="21"/>
          <w:szCs w:val="21"/>
          <w:shd w:val="clear" w:color="auto" w:fill="FFFFFF"/>
        </w:rPr>
        <w:t>主要是我校专职教师，按照各管一面，分工协作的办法，完成专业建设中的诸多问题，是专业建设的主要依靠力量。在课程分配上，基本按照各自在</w:t>
      </w:r>
      <w:r>
        <w:rPr>
          <w:rFonts w:hint="eastAsia" w:asciiTheme="minorEastAsia" w:hAnsiTheme="minorEastAsia" w:eastAsiaTheme="minorEastAsia"/>
          <w:color w:val="000000"/>
          <w:sz w:val="21"/>
          <w:szCs w:val="21"/>
          <w:shd w:val="clear" w:color="auto" w:fill="FFFFFF"/>
        </w:rPr>
        <w:t>国家开放</w:t>
      </w:r>
      <w:r>
        <w:rPr>
          <w:rFonts w:asciiTheme="minorEastAsia" w:hAnsiTheme="minorEastAsia" w:eastAsiaTheme="minorEastAsia"/>
          <w:color w:val="000000"/>
          <w:sz w:val="21"/>
          <w:szCs w:val="21"/>
          <w:shd w:val="clear" w:color="auto" w:fill="FFFFFF"/>
        </w:rPr>
        <w:t>大学课程体系中分管的课程类别，来负责《安全</w:t>
      </w:r>
      <w:r>
        <w:rPr>
          <w:rFonts w:hint="eastAsia" w:asciiTheme="minorEastAsia" w:hAnsiTheme="minorEastAsia" w:eastAsiaTheme="minorEastAsia"/>
          <w:color w:val="000000"/>
          <w:sz w:val="21"/>
          <w:szCs w:val="21"/>
          <w:shd w:val="clear" w:color="auto" w:fill="FFFFFF"/>
        </w:rPr>
        <w:t>技术与</w:t>
      </w:r>
      <w:r>
        <w:rPr>
          <w:rFonts w:asciiTheme="minorEastAsia" w:hAnsiTheme="minorEastAsia" w:eastAsiaTheme="minorEastAsia"/>
          <w:color w:val="000000"/>
          <w:sz w:val="21"/>
          <w:szCs w:val="21"/>
          <w:shd w:val="clear" w:color="auto" w:fill="FFFFFF"/>
        </w:rPr>
        <w:t>管理》新增专业中的课程。</w:t>
      </w:r>
    </w:p>
    <w:p>
      <w:pPr>
        <w:adjustRightInd w:val="0"/>
        <w:snapToGrid w:val="0"/>
        <w:ind w:firstLine="422"/>
        <w:rPr>
          <w:rFonts w:cs="Arial" w:asciiTheme="minorEastAsia" w:hAnsiTheme="minorEastAsia" w:eastAsiaTheme="minorEastAsia"/>
          <w:b/>
          <w:color w:val="000000" w:themeColor="text1"/>
          <w:sz w:val="21"/>
          <w:szCs w:val="21"/>
        </w:rPr>
      </w:pPr>
      <w:r>
        <w:rPr>
          <w:rFonts w:cs="Arial" w:asciiTheme="minorEastAsia" w:hAnsiTheme="minorEastAsia" w:eastAsiaTheme="minorEastAsia"/>
          <w:b/>
          <w:color w:val="000000" w:themeColor="text1"/>
          <w:sz w:val="21"/>
          <w:szCs w:val="21"/>
        </w:rPr>
        <w:fldChar w:fldCharType="begin"/>
      </w:r>
      <w:r>
        <w:rPr>
          <w:rFonts w:hint="eastAsia" w:cs="Arial" w:asciiTheme="minorEastAsia" w:hAnsiTheme="minorEastAsia" w:eastAsiaTheme="minorEastAsia"/>
          <w:b/>
          <w:color w:val="000000" w:themeColor="text1"/>
          <w:sz w:val="21"/>
          <w:szCs w:val="21"/>
        </w:rPr>
        <w:instrText xml:space="preserve">= 2 \* GB3</w:instrText>
      </w:r>
      <w:r>
        <w:rPr>
          <w:rFonts w:cs="Arial" w:asciiTheme="minorEastAsia" w:hAnsiTheme="minorEastAsia" w:eastAsiaTheme="minorEastAsia"/>
          <w:b/>
          <w:color w:val="000000" w:themeColor="text1"/>
          <w:sz w:val="21"/>
          <w:szCs w:val="21"/>
        </w:rPr>
        <w:fldChar w:fldCharType="separate"/>
      </w:r>
      <w:r>
        <w:rPr>
          <w:rFonts w:hint="eastAsia" w:cs="Arial" w:asciiTheme="minorEastAsia" w:hAnsiTheme="minorEastAsia" w:eastAsiaTheme="minorEastAsia"/>
          <w:b/>
          <w:color w:val="000000" w:themeColor="text1"/>
          <w:sz w:val="21"/>
          <w:szCs w:val="21"/>
        </w:rPr>
        <w:t>②</w:t>
      </w:r>
      <w:r>
        <w:rPr>
          <w:rFonts w:cs="Arial" w:asciiTheme="minorEastAsia" w:hAnsiTheme="minorEastAsia" w:eastAsiaTheme="minorEastAsia"/>
          <w:b/>
          <w:color w:val="000000" w:themeColor="text1"/>
          <w:sz w:val="21"/>
          <w:szCs w:val="21"/>
        </w:rPr>
        <w:fldChar w:fldCharType="end"/>
      </w:r>
      <w:r>
        <w:rPr>
          <w:rFonts w:hint="eastAsia" w:cs="Arial" w:asciiTheme="minorEastAsia" w:hAnsiTheme="minorEastAsia" w:eastAsiaTheme="minorEastAsia"/>
          <w:b/>
          <w:color w:val="000000" w:themeColor="text1"/>
          <w:sz w:val="21"/>
          <w:szCs w:val="21"/>
        </w:rPr>
        <w:t>资源建设</w:t>
      </w:r>
      <w:r>
        <w:rPr>
          <w:rFonts w:cs="Arial" w:asciiTheme="minorEastAsia" w:hAnsiTheme="minorEastAsia" w:eastAsiaTheme="minorEastAsia"/>
          <w:b/>
          <w:color w:val="000000" w:themeColor="text1"/>
          <w:sz w:val="21"/>
          <w:szCs w:val="21"/>
        </w:rPr>
        <w:t>团队</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国家开放大学西安分部自</w:t>
      </w:r>
      <w:r>
        <w:rPr>
          <w:rFonts w:asciiTheme="minorEastAsia" w:hAnsiTheme="minorEastAsia" w:eastAsiaTheme="minorEastAsia"/>
          <w:color w:val="000000"/>
          <w:sz w:val="21"/>
          <w:szCs w:val="21"/>
          <w:shd w:val="clear" w:color="auto" w:fill="FFFFFF"/>
        </w:rPr>
        <w:t>2012</w:t>
      </w:r>
      <w:r>
        <w:rPr>
          <w:rFonts w:hint="eastAsia" w:asciiTheme="minorEastAsia" w:hAnsiTheme="minorEastAsia" w:eastAsiaTheme="minorEastAsia"/>
          <w:color w:val="000000"/>
          <w:sz w:val="21"/>
          <w:szCs w:val="21"/>
          <w:shd w:val="clear" w:color="auto" w:fill="FFFFFF"/>
        </w:rPr>
        <w:t>年成立了西安电大教学资源建设委员会（简称资委会），全面负责教学资源建设工作的统筹规划与指导。资委会主任委员由学校主管教学校长担任，委员分别由教学部、教务处、教学督导、一线办学部门、教育技术与资源中心等负责人以及校外督学专家担任。资源建设办公室专门设在教育技术与资源中心，目的是更便于资源管理、指导和团队协作。</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资源建设团队由教师团队与技术团队构成。教师团队以专职教师为主，兼职教师为辅。近几年，学校通过人才引进的方式引进了硕士、博士专业人才，充实了教师队伍。技术队伍成员来自于北京师范大学、西北师范大学、陕西科技大学等远程教育、教育技术、影视传媒等领域的硕士研究生。目前，我校教育技术与资源中心共有25人，资源制作人员达16人，占部门总人数的64%，形成并培育了了一个人员稳定、专业性较强的技术团队。</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截止2015年，国家开放大学西安分部自建视频4448节（每节50分钟），网络课程36门，国开精品课程6门，微课400余个。10门网络课程荣获全国多媒体课件大赛一等奖，5门网络课程荣获全国多媒体课件大赛二等奖，6门分别获得2012年至2015年度国家开放大学精品课程、国家开放大学精品课程称号。</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2016年，经过学校资源建设委员会的评议，确定《安全技术与管理》专业的一门课程作为国家开放大学西安分部的精品课程进行资源建设。</w:t>
      </w:r>
    </w:p>
    <w:p>
      <w:pPr>
        <w:adjustRightInd w:val="0"/>
        <w:snapToGrid w:val="0"/>
        <w:ind w:firstLine="422"/>
        <w:rPr>
          <w:rFonts w:cs="Arial" w:asciiTheme="minorEastAsia" w:hAnsiTheme="minorEastAsia" w:eastAsiaTheme="minorEastAsia"/>
          <w:b/>
          <w:color w:val="000000" w:themeColor="text1"/>
          <w:sz w:val="21"/>
          <w:szCs w:val="21"/>
        </w:rPr>
      </w:pPr>
      <w:r>
        <w:rPr>
          <w:rFonts w:cs="Arial" w:asciiTheme="minorEastAsia" w:hAnsiTheme="minorEastAsia" w:eastAsiaTheme="minorEastAsia"/>
          <w:b/>
          <w:color w:val="000000" w:themeColor="text1"/>
          <w:sz w:val="21"/>
          <w:szCs w:val="21"/>
        </w:rPr>
        <w:fldChar w:fldCharType="begin"/>
      </w:r>
      <w:r>
        <w:rPr>
          <w:rFonts w:hint="eastAsia" w:cs="Arial" w:asciiTheme="minorEastAsia" w:hAnsiTheme="minorEastAsia" w:eastAsiaTheme="minorEastAsia"/>
          <w:b/>
          <w:color w:val="000000" w:themeColor="text1"/>
          <w:sz w:val="21"/>
          <w:szCs w:val="21"/>
        </w:rPr>
        <w:instrText xml:space="preserve">= 3 \* GB3</w:instrText>
      </w:r>
      <w:r>
        <w:rPr>
          <w:rFonts w:cs="Arial" w:asciiTheme="minorEastAsia" w:hAnsiTheme="minorEastAsia" w:eastAsiaTheme="minorEastAsia"/>
          <w:b/>
          <w:color w:val="000000" w:themeColor="text1"/>
          <w:sz w:val="21"/>
          <w:szCs w:val="21"/>
        </w:rPr>
        <w:fldChar w:fldCharType="separate"/>
      </w:r>
      <w:r>
        <w:rPr>
          <w:rFonts w:hint="eastAsia" w:cs="Arial" w:asciiTheme="minorEastAsia" w:hAnsiTheme="minorEastAsia" w:eastAsiaTheme="minorEastAsia"/>
          <w:b/>
          <w:color w:val="000000" w:themeColor="text1"/>
          <w:sz w:val="21"/>
          <w:szCs w:val="21"/>
        </w:rPr>
        <w:t>③</w:t>
      </w:r>
      <w:r>
        <w:rPr>
          <w:rFonts w:cs="Arial" w:asciiTheme="minorEastAsia" w:hAnsiTheme="minorEastAsia" w:eastAsiaTheme="minorEastAsia"/>
          <w:b/>
          <w:color w:val="000000" w:themeColor="text1"/>
          <w:sz w:val="21"/>
          <w:szCs w:val="21"/>
        </w:rPr>
        <w:fldChar w:fldCharType="end"/>
      </w:r>
      <w:r>
        <w:rPr>
          <w:rFonts w:hint="eastAsia" w:cs="Arial" w:asciiTheme="minorEastAsia" w:hAnsiTheme="minorEastAsia" w:eastAsiaTheme="minorEastAsia"/>
          <w:b/>
          <w:color w:val="000000" w:themeColor="text1"/>
          <w:sz w:val="21"/>
          <w:szCs w:val="21"/>
        </w:rPr>
        <w:t>科研</w:t>
      </w:r>
      <w:r>
        <w:rPr>
          <w:rFonts w:cs="Arial" w:asciiTheme="minorEastAsia" w:hAnsiTheme="minorEastAsia" w:eastAsiaTheme="minorEastAsia"/>
          <w:b/>
          <w:color w:val="000000" w:themeColor="text1"/>
          <w:sz w:val="21"/>
          <w:szCs w:val="21"/>
        </w:rPr>
        <w:t>团队</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国家开放大学西安分部完成了2012-2014年度校级13项专项课题，其中3项同时承担国家开放大学课题研究，2项同时承担陕西省教科所课题研究。经国家开放大学专家审核，3项优秀。积极参与西安市社会科学规划基金课题，完成1项专项课题。在2015年5月举办的全国电大数字图书骨干教师高级研修班上，学校网络课程书架的课题首次被作为教学案例讲授。学校有多项科研课题被省市有关部门立项，21个校级课题立项，多个校级网络课程、系列微课程立项建设。获得了国家开放大学1个科研奖项。</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drawing>
          <wp:anchor distT="0" distB="0" distL="114300" distR="114300" simplePos="0" relativeHeight="251664384" behindDoc="0" locked="0" layoutInCell="1" allowOverlap="1">
            <wp:simplePos x="0" y="0"/>
            <wp:positionH relativeFrom="column">
              <wp:posOffset>5449570</wp:posOffset>
            </wp:positionH>
            <wp:positionV relativeFrom="paragraph">
              <wp:posOffset>-1332865</wp:posOffset>
            </wp:positionV>
            <wp:extent cx="304800" cy="171450"/>
            <wp:effectExtent l="19050" t="0" r="0" b="0"/>
            <wp:wrapNone/>
            <wp:docPr id="18" name="图片 17"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14.jpg"/>
                    <pic:cNvPicPr>
                      <a:picLocks noChangeAspect="1"/>
                    </pic:cNvPicPr>
                  </pic:nvPicPr>
                  <pic:blipFill>
                    <a:blip r:embed="rId15"/>
                    <a:stretch>
                      <a:fillRect/>
                    </a:stretch>
                  </pic:blipFill>
                  <pic:spPr>
                    <a:xfrm>
                      <a:off x="0" y="0"/>
                      <a:ext cx="304800" cy="171450"/>
                    </a:xfrm>
                    <a:prstGeom prst="rect">
                      <a:avLst/>
                    </a:prstGeom>
                  </pic:spPr>
                </pic:pic>
              </a:graphicData>
            </a:graphic>
          </wp:anchor>
        </w:drawing>
      </w:r>
      <w:r>
        <w:rPr>
          <w:rFonts w:asciiTheme="minorEastAsia" w:hAnsiTheme="minorEastAsia" w:eastAsiaTheme="minorEastAsia"/>
          <w:color w:val="000000"/>
          <w:sz w:val="21"/>
          <w:szCs w:val="21"/>
          <w:shd w:val="clear" w:color="auto" w:fill="FFFFFF"/>
        </w:rPr>
        <w:t>2016年度，“基于《工程项目管理》课程教学资源建设体系的研究”作</w:t>
      </w:r>
      <w:r>
        <w:rPr>
          <w:rFonts w:hint="eastAsia" w:asciiTheme="minorEastAsia" w:hAnsiTheme="minorEastAsia" w:eastAsiaTheme="minorEastAsia"/>
          <w:color w:val="000000"/>
          <w:sz w:val="21"/>
          <w:szCs w:val="21"/>
          <w:shd w:val="clear" w:color="auto" w:fill="FFFFFF"/>
        </w:rPr>
        <w:t>为国家开放大学西安分部重点</w:t>
      </w:r>
      <w:r>
        <w:rPr>
          <w:rFonts w:asciiTheme="minorEastAsia" w:hAnsiTheme="minorEastAsia" w:eastAsiaTheme="minorEastAsia"/>
          <w:color w:val="000000"/>
          <w:sz w:val="21"/>
          <w:szCs w:val="21"/>
          <w:shd w:val="clear" w:color="auto" w:fill="FFFFFF"/>
        </w:rPr>
        <w:t>课题。</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（3）资源优势</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国家开放大学西安分部积极筹备</w:t>
      </w:r>
      <w:r>
        <w:rPr>
          <w:rFonts w:asciiTheme="minorEastAsia" w:hAnsiTheme="minorEastAsia" w:eastAsiaTheme="minorEastAsia"/>
          <w:color w:val="000000"/>
          <w:sz w:val="21"/>
          <w:szCs w:val="21"/>
          <w:shd w:val="clear" w:color="auto" w:fill="FFFFFF"/>
        </w:rPr>
        <w:t>和</w:t>
      </w:r>
      <w:r>
        <w:rPr>
          <w:rFonts w:hint="eastAsia" w:asciiTheme="minorEastAsia" w:hAnsiTheme="minorEastAsia" w:eastAsiaTheme="minorEastAsia"/>
          <w:color w:val="000000"/>
          <w:sz w:val="21"/>
          <w:szCs w:val="21"/>
          <w:shd w:val="clear" w:color="auto" w:fill="FFFFFF"/>
        </w:rPr>
        <w:t>开展安全技术与</w:t>
      </w:r>
      <w:r>
        <w:rPr>
          <w:rFonts w:asciiTheme="minorEastAsia" w:hAnsiTheme="minorEastAsia" w:eastAsiaTheme="minorEastAsia"/>
          <w:color w:val="000000"/>
          <w:sz w:val="21"/>
          <w:szCs w:val="21"/>
          <w:shd w:val="clear" w:color="auto" w:fill="FFFFFF"/>
        </w:rPr>
        <w:t>管理</w:t>
      </w:r>
      <w:r>
        <w:rPr>
          <w:rFonts w:hint="eastAsia" w:asciiTheme="minorEastAsia" w:hAnsiTheme="minorEastAsia" w:eastAsiaTheme="minorEastAsia"/>
          <w:color w:val="000000"/>
          <w:sz w:val="21"/>
          <w:szCs w:val="21"/>
          <w:shd w:val="clear" w:color="auto" w:fill="FFFFFF"/>
        </w:rPr>
        <w:t>专业的资源建设工作。由10多位西安市内行业专家、普通</w:t>
      </w:r>
      <w:r>
        <w:rPr>
          <w:rFonts w:asciiTheme="minorEastAsia" w:hAnsiTheme="minorEastAsia" w:eastAsiaTheme="minorEastAsia"/>
          <w:color w:val="000000"/>
          <w:sz w:val="21"/>
          <w:szCs w:val="21"/>
          <w:shd w:val="clear" w:color="auto" w:fill="FFFFFF"/>
        </w:rPr>
        <w:t>高校专家</w:t>
      </w:r>
      <w:r>
        <w:rPr>
          <w:rFonts w:hint="eastAsia" w:asciiTheme="minorEastAsia" w:hAnsiTheme="minorEastAsia" w:eastAsiaTheme="minorEastAsia"/>
          <w:color w:val="000000"/>
          <w:sz w:val="21"/>
          <w:szCs w:val="21"/>
          <w:shd w:val="clear" w:color="auto" w:fill="FFFFFF"/>
        </w:rPr>
        <w:t>组成的教材和资源建设工作已经开始启动，由西安建筑</w:t>
      </w:r>
      <w:r>
        <w:rPr>
          <w:rFonts w:asciiTheme="minorEastAsia" w:hAnsiTheme="minorEastAsia" w:eastAsiaTheme="minorEastAsia"/>
          <w:color w:val="000000"/>
          <w:sz w:val="21"/>
          <w:szCs w:val="21"/>
          <w:shd w:val="clear" w:color="auto" w:fill="FFFFFF"/>
        </w:rPr>
        <w:t>科技大学</w:t>
      </w:r>
      <w:r>
        <w:rPr>
          <w:rFonts w:hint="eastAsia" w:asciiTheme="minorEastAsia" w:hAnsiTheme="minorEastAsia" w:eastAsiaTheme="minorEastAsia"/>
          <w:color w:val="000000"/>
          <w:sz w:val="21"/>
          <w:szCs w:val="21"/>
          <w:shd w:val="clear" w:color="auto" w:fill="FFFFFF"/>
        </w:rPr>
        <w:t>、西安科技</w:t>
      </w:r>
      <w:r>
        <w:rPr>
          <w:rFonts w:asciiTheme="minorEastAsia" w:hAnsiTheme="minorEastAsia" w:eastAsiaTheme="minorEastAsia"/>
          <w:color w:val="000000"/>
          <w:sz w:val="21"/>
          <w:szCs w:val="21"/>
          <w:shd w:val="clear" w:color="auto" w:fill="FFFFFF"/>
        </w:rPr>
        <w:t>大学</w:t>
      </w:r>
      <w:r>
        <w:rPr>
          <w:rFonts w:hint="eastAsia" w:asciiTheme="minorEastAsia" w:hAnsiTheme="minorEastAsia" w:eastAsiaTheme="minorEastAsia"/>
          <w:color w:val="000000"/>
          <w:sz w:val="21"/>
          <w:szCs w:val="21"/>
          <w:shd w:val="clear" w:color="auto" w:fill="FFFFFF"/>
        </w:rPr>
        <w:t>共同进行的第一学期专业基础教材《安全法规》已经开始编写，并将随教学进度逐渐完成课程资源建设。与此同时，学校还计划引进国内外先进的相关教材和教学精品资源。</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国家开放大学西安分部每年</w:t>
      </w:r>
      <w:r>
        <w:rPr>
          <w:rFonts w:asciiTheme="minorEastAsia" w:hAnsiTheme="minorEastAsia" w:eastAsiaTheme="minorEastAsia"/>
          <w:color w:val="000000"/>
          <w:sz w:val="21"/>
          <w:szCs w:val="21"/>
          <w:shd w:val="clear" w:color="auto" w:fill="FFFFFF"/>
        </w:rPr>
        <w:t>将投入一定的资源建设资金，用于专业课程教学资源的建设。</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fldChar w:fldCharType="begin"/>
      </w:r>
      <w:r>
        <w:rPr>
          <w:rFonts w:hint="eastAsia" w:asciiTheme="minorEastAsia" w:hAnsiTheme="minorEastAsia" w:eastAsiaTheme="minorEastAsia"/>
          <w:color w:val="000000"/>
          <w:sz w:val="21"/>
          <w:szCs w:val="21"/>
          <w:shd w:val="clear" w:color="auto" w:fill="FFFFFF"/>
        </w:rPr>
        <w:instrText xml:space="preserve">= 1 \* GB3</w:instrText>
      </w:r>
      <w:r>
        <w:rPr>
          <w:rFonts w:asciiTheme="minorEastAsia" w:hAnsiTheme="minorEastAsia" w:eastAsiaTheme="minorEastAsia"/>
          <w:color w:val="000000"/>
          <w:sz w:val="21"/>
          <w:szCs w:val="21"/>
          <w:shd w:val="clear" w:color="auto" w:fill="FFFFFF"/>
        </w:rPr>
        <w:fldChar w:fldCharType="separate"/>
      </w:r>
      <w:r>
        <w:rPr>
          <w:rFonts w:hint="eastAsia" w:asciiTheme="minorEastAsia" w:hAnsiTheme="minorEastAsia" w:eastAsiaTheme="minorEastAsia"/>
          <w:color w:val="000000"/>
          <w:sz w:val="21"/>
          <w:szCs w:val="21"/>
          <w:shd w:val="clear" w:color="auto" w:fill="FFFFFF"/>
        </w:rPr>
        <w:t>①</w:t>
      </w:r>
      <w:r>
        <w:rPr>
          <w:rFonts w:asciiTheme="minorEastAsia" w:hAnsiTheme="minorEastAsia" w:eastAsiaTheme="minorEastAsia"/>
          <w:color w:val="000000"/>
          <w:sz w:val="21"/>
          <w:szCs w:val="21"/>
          <w:shd w:val="clear" w:color="auto" w:fill="FFFFFF"/>
        </w:rPr>
        <w:fldChar w:fldCharType="end"/>
      </w:r>
      <w:r>
        <w:rPr>
          <w:rFonts w:hint="eastAsia" w:asciiTheme="minorEastAsia" w:hAnsiTheme="minorEastAsia" w:eastAsiaTheme="minorEastAsia"/>
          <w:color w:val="000000"/>
          <w:sz w:val="21"/>
          <w:szCs w:val="21"/>
          <w:shd w:val="clear" w:color="auto" w:fill="FFFFFF"/>
        </w:rPr>
        <w:t>文字教材</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2016年秋季的第一届学生将</w:t>
      </w:r>
      <w:r>
        <w:rPr>
          <w:rFonts w:asciiTheme="minorEastAsia" w:hAnsiTheme="minorEastAsia" w:eastAsiaTheme="minorEastAsia"/>
          <w:color w:val="000000"/>
          <w:sz w:val="21"/>
          <w:szCs w:val="21"/>
          <w:shd w:val="clear" w:color="auto" w:fill="FFFFFF"/>
        </w:rPr>
        <w:t>进行</w:t>
      </w:r>
      <w:r>
        <w:rPr>
          <w:rFonts w:hint="eastAsia" w:asciiTheme="minorEastAsia" w:hAnsiTheme="minorEastAsia" w:eastAsiaTheme="minorEastAsia"/>
          <w:color w:val="000000"/>
          <w:sz w:val="21"/>
          <w:szCs w:val="21"/>
          <w:shd w:val="clear" w:color="auto" w:fill="FFFFFF"/>
        </w:rPr>
        <w:t>公共基础课程</w:t>
      </w:r>
      <w:r>
        <w:rPr>
          <w:rFonts w:asciiTheme="minorEastAsia" w:hAnsiTheme="minorEastAsia" w:eastAsiaTheme="minorEastAsia"/>
          <w:color w:val="000000"/>
          <w:sz w:val="21"/>
          <w:szCs w:val="21"/>
          <w:shd w:val="clear" w:color="auto" w:fill="FFFFFF"/>
        </w:rPr>
        <w:t>的学习，主要依托国家开放大学的必修课程资源进行，主要有：中国特色社会主义理论体系概论、国家开放大学学习指南、英语I（</w:t>
      </w:r>
      <w:r>
        <w:rPr>
          <w:rFonts w:hint="eastAsia" w:asciiTheme="minorEastAsia" w:hAnsiTheme="minorEastAsia" w:eastAsiaTheme="minorEastAsia"/>
          <w:color w:val="000000"/>
          <w:sz w:val="21"/>
          <w:szCs w:val="21"/>
          <w:shd w:val="clear" w:color="auto" w:fill="FFFFFF"/>
        </w:rPr>
        <w:t>1）</w:t>
      </w:r>
      <w:r>
        <w:rPr>
          <w:rFonts w:asciiTheme="minorEastAsia" w:hAnsiTheme="minorEastAsia" w:eastAsiaTheme="minorEastAsia"/>
          <w:color w:val="000000"/>
          <w:sz w:val="21"/>
          <w:szCs w:val="21"/>
          <w:shd w:val="clear" w:color="auto" w:fill="FFFFFF"/>
        </w:rPr>
        <w:t>、计算机文化基础、高等数学</w:t>
      </w:r>
      <w:r>
        <w:rPr>
          <w:rFonts w:hint="eastAsia" w:asciiTheme="minorEastAsia" w:hAnsiTheme="minorEastAsia" w:eastAsiaTheme="minorEastAsia"/>
          <w:color w:val="000000"/>
          <w:sz w:val="21"/>
          <w:szCs w:val="21"/>
          <w:shd w:val="clear" w:color="auto" w:fill="FFFFFF"/>
        </w:rPr>
        <w:t>基础</w:t>
      </w:r>
      <w:r>
        <w:rPr>
          <w:rFonts w:asciiTheme="minorEastAsia" w:hAnsiTheme="minorEastAsia" w:eastAsiaTheme="minorEastAsia"/>
          <w:color w:val="000000"/>
          <w:sz w:val="21"/>
          <w:szCs w:val="21"/>
          <w:shd w:val="clear" w:color="auto" w:fill="FFFFFF"/>
        </w:rPr>
        <w:t>等</w:t>
      </w:r>
      <w:r>
        <w:rPr>
          <w:rFonts w:hint="eastAsia" w:asciiTheme="minorEastAsia" w:hAnsiTheme="minorEastAsia" w:eastAsiaTheme="minorEastAsia"/>
          <w:color w:val="000000"/>
          <w:sz w:val="21"/>
          <w:szCs w:val="21"/>
          <w:shd w:val="clear" w:color="auto" w:fill="FFFFFF"/>
        </w:rPr>
        <w:t>。同时</w:t>
      </w:r>
      <w:r>
        <w:rPr>
          <w:rFonts w:asciiTheme="minorEastAsia" w:hAnsiTheme="minorEastAsia" w:eastAsiaTheme="minorEastAsia"/>
          <w:color w:val="000000"/>
          <w:sz w:val="21"/>
          <w:szCs w:val="21"/>
          <w:shd w:val="clear" w:color="auto" w:fill="FFFFFF"/>
        </w:rPr>
        <w:t>积极进行第二学期课程的建设工作，</w:t>
      </w:r>
      <w:r>
        <w:rPr>
          <w:rFonts w:hint="eastAsia" w:asciiTheme="minorEastAsia" w:hAnsiTheme="minorEastAsia" w:eastAsiaTheme="minorEastAsia"/>
          <w:color w:val="000000"/>
          <w:sz w:val="21"/>
          <w:szCs w:val="21"/>
          <w:shd w:val="clear" w:color="auto" w:fill="FFFFFF"/>
        </w:rPr>
        <w:t>采取</w:t>
      </w:r>
      <w:r>
        <w:rPr>
          <w:rFonts w:asciiTheme="minorEastAsia" w:hAnsiTheme="minorEastAsia" w:eastAsiaTheme="minorEastAsia"/>
          <w:color w:val="000000"/>
          <w:sz w:val="21"/>
          <w:szCs w:val="21"/>
          <w:shd w:val="clear" w:color="auto" w:fill="FFFFFF"/>
        </w:rPr>
        <w:t>自建和引进普通高校教材的方式进行。</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fldChar w:fldCharType="begin"/>
      </w:r>
      <w:r>
        <w:rPr>
          <w:rFonts w:hint="eastAsia" w:asciiTheme="minorEastAsia" w:hAnsiTheme="minorEastAsia" w:eastAsiaTheme="minorEastAsia"/>
          <w:color w:val="000000"/>
          <w:sz w:val="21"/>
          <w:szCs w:val="21"/>
          <w:shd w:val="clear" w:color="auto" w:fill="FFFFFF"/>
        </w:rPr>
        <w:instrText xml:space="preserve">= 2 \* GB3</w:instrText>
      </w:r>
      <w:r>
        <w:rPr>
          <w:rFonts w:asciiTheme="minorEastAsia" w:hAnsiTheme="minorEastAsia" w:eastAsiaTheme="minorEastAsia"/>
          <w:color w:val="000000"/>
          <w:sz w:val="21"/>
          <w:szCs w:val="21"/>
          <w:shd w:val="clear" w:color="auto" w:fill="FFFFFF"/>
        </w:rPr>
        <w:fldChar w:fldCharType="separate"/>
      </w:r>
      <w:r>
        <w:rPr>
          <w:rFonts w:hint="eastAsia" w:asciiTheme="minorEastAsia" w:hAnsiTheme="minorEastAsia" w:eastAsiaTheme="minorEastAsia"/>
          <w:color w:val="000000"/>
          <w:sz w:val="21"/>
          <w:szCs w:val="21"/>
          <w:shd w:val="clear" w:color="auto" w:fill="FFFFFF"/>
        </w:rPr>
        <w:t>②</w:t>
      </w:r>
      <w:r>
        <w:rPr>
          <w:rFonts w:asciiTheme="minorEastAsia" w:hAnsiTheme="minorEastAsia" w:eastAsiaTheme="minorEastAsia"/>
          <w:color w:val="000000"/>
          <w:sz w:val="21"/>
          <w:szCs w:val="21"/>
          <w:shd w:val="clear" w:color="auto" w:fill="FFFFFF"/>
        </w:rPr>
        <w:fldChar w:fldCharType="end"/>
      </w:r>
      <w:r>
        <w:rPr>
          <w:rFonts w:hint="eastAsia" w:asciiTheme="minorEastAsia" w:hAnsiTheme="minorEastAsia" w:eastAsiaTheme="minorEastAsia"/>
          <w:color w:val="000000"/>
          <w:sz w:val="21"/>
          <w:szCs w:val="21"/>
          <w:shd w:val="clear" w:color="auto" w:fill="FFFFFF"/>
        </w:rPr>
        <w:t>网络资源</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在国家开放大学西安分部资源</w:t>
      </w:r>
      <w:r>
        <w:rPr>
          <w:rFonts w:asciiTheme="minorEastAsia" w:hAnsiTheme="minorEastAsia" w:eastAsiaTheme="minorEastAsia"/>
          <w:color w:val="000000"/>
          <w:sz w:val="21"/>
          <w:szCs w:val="21"/>
          <w:shd w:val="clear" w:color="auto" w:fill="FFFFFF"/>
        </w:rPr>
        <w:t>建设委员</w:t>
      </w:r>
      <w:r>
        <w:rPr>
          <w:rFonts w:hint="eastAsia" w:asciiTheme="minorEastAsia" w:hAnsiTheme="minorEastAsia" w:eastAsiaTheme="minorEastAsia"/>
          <w:color w:val="000000"/>
          <w:sz w:val="21"/>
          <w:szCs w:val="21"/>
          <w:shd w:val="clear" w:color="auto" w:fill="FFFFFF"/>
        </w:rPr>
        <w:t>会</w:t>
      </w:r>
      <w:r>
        <w:rPr>
          <w:rFonts w:asciiTheme="minorEastAsia" w:hAnsiTheme="minorEastAsia" w:eastAsiaTheme="minorEastAsia"/>
          <w:color w:val="000000"/>
          <w:sz w:val="21"/>
          <w:szCs w:val="21"/>
          <w:shd w:val="clear" w:color="auto" w:fill="FFFFFF"/>
        </w:rPr>
        <w:t>的总体</w:t>
      </w:r>
      <w:r>
        <w:rPr>
          <w:rFonts w:hint="eastAsia" w:asciiTheme="minorEastAsia" w:hAnsiTheme="minorEastAsia" w:eastAsiaTheme="minorEastAsia"/>
          <w:color w:val="000000"/>
          <w:sz w:val="21"/>
          <w:szCs w:val="21"/>
          <w:shd w:val="clear" w:color="auto" w:fill="FFFFFF"/>
        </w:rPr>
        <w:t>安排</w:t>
      </w:r>
      <w:r>
        <w:rPr>
          <w:rFonts w:asciiTheme="minorEastAsia" w:hAnsiTheme="minorEastAsia" w:eastAsiaTheme="minorEastAsia"/>
          <w:color w:val="000000"/>
          <w:sz w:val="21"/>
          <w:szCs w:val="21"/>
          <w:shd w:val="clear" w:color="auto" w:fill="FFFFFF"/>
        </w:rPr>
        <w:t>与</w:t>
      </w:r>
      <w:r>
        <w:rPr>
          <w:rFonts w:hint="eastAsia" w:asciiTheme="minorEastAsia" w:hAnsiTheme="minorEastAsia" w:eastAsiaTheme="minorEastAsia"/>
          <w:color w:val="000000"/>
          <w:sz w:val="21"/>
          <w:szCs w:val="21"/>
          <w:shd w:val="clear" w:color="auto" w:fill="FFFFFF"/>
        </w:rPr>
        <w:t>部署下</w:t>
      </w:r>
      <w:r>
        <w:rPr>
          <w:rFonts w:asciiTheme="minorEastAsia" w:hAnsiTheme="minorEastAsia" w:eastAsiaTheme="minorEastAsia"/>
          <w:color w:val="000000"/>
          <w:sz w:val="21"/>
          <w:szCs w:val="21"/>
          <w:shd w:val="clear" w:color="auto" w:fill="FFFFFF"/>
        </w:rPr>
        <w:t>，合理规划本专业的</w:t>
      </w:r>
      <w:r>
        <w:rPr>
          <w:rFonts w:hint="eastAsia" w:asciiTheme="minorEastAsia" w:hAnsiTheme="minorEastAsia" w:eastAsiaTheme="minorEastAsia"/>
          <w:color w:val="000000"/>
          <w:sz w:val="21"/>
          <w:szCs w:val="21"/>
          <w:shd w:val="clear" w:color="auto" w:fill="FFFFFF"/>
        </w:rPr>
        <w:t>资源</w:t>
      </w:r>
      <w:r>
        <w:rPr>
          <w:rFonts w:asciiTheme="minorEastAsia" w:hAnsiTheme="minorEastAsia" w:eastAsiaTheme="minorEastAsia"/>
          <w:color w:val="000000"/>
          <w:sz w:val="21"/>
          <w:szCs w:val="21"/>
          <w:shd w:val="clear" w:color="auto" w:fill="FFFFFF"/>
        </w:rPr>
        <w:t>建设任务，选择一门课程进行网络课程建设，同时聘请专家进行系统讲授视频的</w:t>
      </w:r>
      <w:r>
        <w:rPr>
          <w:rFonts w:hint="eastAsia" w:asciiTheme="minorEastAsia" w:hAnsiTheme="minorEastAsia" w:eastAsiaTheme="minorEastAsia"/>
          <w:color w:val="000000"/>
          <w:sz w:val="21"/>
          <w:szCs w:val="21"/>
          <w:shd w:val="clear" w:color="auto" w:fill="FFFFFF"/>
        </w:rPr>
        <w:t>录制</w:t>
      </w:r>
      <w:r>
        <w:rPr>
          <w:rFonts w:asciiTheme="minorEastAsia" w:hAnsiTheme="minorEastAsia" w:eastAsiaTheme="minorEastAsia"/>
          <w:color w:val="000000"/>
          <w:sz w:val="21"/>
          <w:szCs w:val="21"/>
          <w:shd w:val="clear" w:color="auto" w:fill="FFFFFF"/>
        </w:rPr>
        <w:t>。</w:t>
      </w:r>
      <w:r>
        <w:rPr>
          <w:rFonts w:hint="eastAsia" w:asciiTheme="minorEastAsia" w:hAnsiTheme="minorEastAsia" w:eastAsiaTheme="minorEastAsia"/>
          <w:color w:val="000000"/>
          <w:sz w:val="21"/>
          <w:szCs w:val="21"/>
          <w:shd w:val="clear" w:color="auto" w:fill="FFFFFF"/>
        </w:rPr>
        <w:t>专职</w:t>
      </w:r>
      <w:r>
        <w:rPr>
          <w:rFonts w:asciiTheme="minorEastAsia" w:hAnsiTheme="minorEastAsia" w:eastAsiaTheme="minorEastAsia"/>
          <w:color w:val="000000"/>
          <w:sz w:val="21"/>
          <w:szCs w:val="21"/>
          <w:shd w:val="clear" w:color="auto" w:fill="FFFFFF"/>
        </w:rPr>
        <w:t>教师</w:t>
      </w:r>
      <w:r>
        <w:rPr>
          <w:rFonts w:hint="eastAsia" w:asciiTheme="minorEastAsia" w:hAnsiTheme="minorEastAsia" w:eastAsiaTheme="minorEastAsia"/>
          <w:color w:val="000000"/>
          <w:sz w:val="21"/>
          <w:szCs w:val="21"/>
          <w:shd w:val="clear" w:color="auto" w:fill="FFFFFF"/>
        </w:rPr>
        <w:t>进行</w:t>
      </w:r>
      <w:r>
        <w:rPr>
          <w:rFonts w:asciiTheme="minorEastAsia" w:hAnsiTheme="minorEastAsia" w:eastAsiaTheme="minorEastAsia"/>
          <w:color w:val="000000"/>
          <w:sz w:val="21"/>
          <w:szCs w:val="21"/>
          <w:shd w:val="clear" w:color="auto" w:fill="FFFFFF"/>
        </w:rPr>
        <w:t>微课程</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专题讲座等多形式的教学资源。</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（4）实践条件</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fldChar w:fldCharType="begin"/>
      </w:r>
      <w:r>
        <w:rPr>
          <w:rFonts w:hint="eastAsia" w:asciiTheme="minorEastAsia" w:hAnsiTheme="minorEastAsia" w:eastAsiaTheme="minorEastAsia"/>
          <w:color w:val="000000"/>
          <w:sz w:val="21"/>
          <w:szCs w:val="21"/>
          <w:shd w:val="clear" w:color="auto" w:fill="FFFFFF"/>
        </w:rPr>
        <w:instrText xml:space="preserve">= 1 \* GB3</w:instrText>
      </w:r>
      <w:r>
        <w:rPr>
          <w:rFonts w:asciiTheme="minorEastAsia" w:hAnsiTheme="minorEastAsia" w:eastAsiaTheme="minorEastAsia"/>
          <w:color w:val="000000"/>
          <w:sz w:val="21"/>
          <w:szCs w:val="21"/>
          <w:shd w:val="clear" w:color="auto" w:fill="FFFFFF"/>
        </w:rPr>
        <w:fldChar w:fldCharType="separate"/>
      </w:r>
      <w:r>
        <w:rPr>
          <w:rFonts w:hint="eastAsia" w:asciiTheme="minorEastAsia" w:hAnsiTheme="minorEastAsia" w:eastAsiaTheme="minorEastAsia"/>
          <w:color w:val="000000"/>
          <w:sz w:val="21"/>
          <w:szCs w:val="21"/>
          <w:shd w:val="clear" w:color="auto" w:fill="FFFFFF"/>
        </w:rPr>
        <w:t>①</w:t>
      </w:r>
      <w:r>
        <w:rPr>
          <w:rFonts w:asciiTheme="minorEastAsia" w:hAnsiTheme="minorEastAsia" w:eastAsiaTheme="minorEastAsia"/>
          <w:color w:val="000000"/>
          <w:sz w:val="21"/>
          <w:szCs w:val="21"/>
          <w:shd w:val="clear" w:color="auto" w:fill="FFFFFF"/>
        </w:rPr>
        <w:fldChar w:fldCharType="end"/>
      </w:r>
      <w:r>
        <w:rPr>
          <w:rFonts w:hint="eastAsia" w:asciiTheme="minorEastAsia" w:hAnsiTheme="minorEastAsia" w:eastAsiaTheme="minorEastAsia"/>
          <w:color w:val="000000"/>
          <w:sz w:val="21"/>
          <w:szCs w:val="21"/>
          <w:shd w:val="clear" w:color="auto" w:fill="FFFFFF"/>
        </w:rPr>
        <w:t>校内实训条件</w:t>
      </w:r>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国家开放大学西安分部依托西安建筑</w:t>
      </w:r>
      <w:r>
        <w:rPr>
          <w:rFonts w:asciiTheme="minorEastAsia" w:hAnsiTheme="minorEastAsia" w:eastAsiaTheme="minorEastAsia"/>
          <w:color w:val="000000"/>
          <w:sz w:val="21"/>
          <w:szCs w:val="21"/>
          <w:shd w:val="clear" w:color="auto" w:fill="FFFFFF"/>
        </w:rPr>
        <w:t>科技大学的安全工程专业实验室</w:t>
      </w:r>
      <w:r>
        <w:rPr>
          <w:rFonts w:hint="eastAsia" w:asciiTheme="minorEastAsia" w:hAnsiTheme="minorEastAsia" w:eastAsiaTheme="minorEastAsia"/>
          <w:color w:val="000000"/>
          <w:sz w:val="21"/>
          <w:szCs w:val="21"/>
          <w:shd w:val="clear" w:color="auto" w:fill="FFFFFF"/>
        </w:rPr>
        <w:t>进行</w:t>
      </w:r>
      <w:r>
        <w:rPr>
          <w:rFonts w:asciiTheme="minorEastAsia" w:hAnsiTheme="minorEastAsia" w:eastAsiaTheme="minorEastAsia"/>
          <w:color w:val="000000"/>
          <w:sz w:val="21"/>
          <w:szCs w:val="21"/>
          <w:shd w:val="clear" w:color="auto" w:fill="FFFFFF"/>
        </w:rPr>
        <w:t>。西安</w:t>
      </w:r>
      <w:r>
        <w:rPr>
          <w:rFonts w:hint="eastAsia" w:asciiTheme="minorEastAsia" w:hAnsiTheme="minorEastAsia" w:eastAsiaTheme="minorEastAsia"/>
          <w:color w:val="000000"/>
          <w:sz w:val="21"/>
          <w:szCs w:val="21"/>
          <w:shd w:val="clear" w:color="auto" w:fill="FFFFFF"/>
        </w:rPr>
        <w:t>建筑</w:t>
      </w:r>
      <w:r>
        <w:rPr>
          <w:rFonts w:asciiTheme="minorEastAsia" w:hAnsiTheme="minorEastAsia" w:eastAsiaTheme="minorEastAsia"/>
          <w:color w:val="000000"/>
          <w:sz w:val="21"/>
          <w:szCs w:val="21"/>
          <w:shd w:val="clear" w:color="auto" w:fill="FFFFFF"/>
        </w:rPr>
        <w:t>科技大学安全工程专业实验室-安全技术及工程博士点实验室现有科研人员 18 人，其中副教授以上职称 7 人，博士及在职博士 12 人，人才结构合理，队伍年富力强。拥有具国际水平的高层建筑及地下结构火灾扑救系统研发基地，国内最大的煤自然发火试验台，已获国家专利的系列防灭火材料及其相关设备，以及国外进口的技术含量较高的现代化测试仪器。现有安全技术和矿山应用技术两个研究所，一个科技成果产业化公司。</w:t>
      </w:r>
    </w:p>
    <w:p>
      <w:pPr>
        <w:adjustRightInd w:val="0"/>
        <w:snapToGrid w:val="0"/>
        <w:ind w:firstLine="420"/>
        <w:rPr>
          <w:rFonts w:asciiTheme="minorEastAsia" w:hAnsiTheme="minorEastAsia" w:eastAsiaTheme="minorEastAsia"/>
          <w:color w:val="000000"/>
          <w:sz w:val="21"/>
          <w:szCs w:val="21"/>
          <w:shd w:val="clear" w:color="auto" w:fill="FFFFFF"/>
        </w:rPr>
      </w:pPr>
      <w:r>
        <w:rPr>
          <w:rFonts w:asciiTheme="minorEastAsia" w:hAnsiTheme="minorEastAsia" w:eastAsiaTheme="minorEastAsia"/>
          <w:color w:val="000000"/>
          <w:sz w:val="21"/>
          <w:szCs w:val="21"/>
          <w:shd w:val="clear" w:color="auto" w:fill="FFFFFF"/>
        </w:rPr>
        <w:t>实验室形成了安全理论与计算机技术、矿山自燃灾害、气体（粉尘）爆炸控制、建筑火灾、复杂系统的安全管理等研究方向，并在矿山自燃灾害、安全理论与计算机技术、建筑火灾等领域的研究处于国内领先或前沿水平。</w:t>
      </w:r>
      <w:r>
        <w:rPr>
          <w:rFonts w:hint="eastAsia" w:asciiTheme="minorEastAsia" w:hAnsiTheme="minorEastAsia" w:eastAsiaTheme="minorEastAsia"/>
          <w:color w:val="000000"/>
          <w:sz w:val="21"/>
          <w:szCs w:val="21"/>
          <w:shd w:val="clear" w:color="auto" w:fill="FFFFFF"/>
        </w:rPr>
        <w:t>详见“《</w:t>
      </w:r>
      <w:r>
        <w:rPr>
          <w:rFonts w:asciiTheme="minorEastAsia" w:hAnsiTheme="minorEastAsia" w:eastAsiaTheme="minorEastAsia"/>
          <w:color w:val="000000"/>
          <w:sz w:val="21"/>
          <w:szCs w:val="21"/>
          <w:shd w:val="clear" w:color="auto" w:fill="FFFFFF"/>
        </w:rPr>
        <w:t>安全技术与管理》（专科）</w:t>
      </w:r>
      <w:r>
        <w:rPr>
          <w:rFonts w:hint="eastAsia" w:asciiTheme="minorEastAsia" w:hAnsiTheme="minorEastAsia" w:eastAsiaTheme="minorEastAsia"/>
          <w:color w:val="000000"/>
          <w:sz w:val="21"/>
          <w:szCs w:val="21"/>
          <w:shd w:val="clear" w:color="auto" w:fill="FFFFFF"/>
        </w:rPr>
        <w:t>专业实训、实习仪器设备图片”</w:t>
      </w:r>
      <w:r>
        <w:rPr>
          <w:rFonts w:asciiTheme="minorEastAsia" w:hAnsiTheme="minorEastAsia" w:eastAsiaTheme="minorEastAsia"/>
          <w:color w:val="000000"/>
          <w:sz w:val="21"/>
          <w:szCs w:val="21"/>
          <w:shd w:val="clear" w:color="auto" w:fill="FFFFFF"/>
        </w:rPr>
        <w:t>。</w:t>
      </w:r>
    </w:p>
    <w:p>
      <w:pPr>
        <w:adjustRightInd w:val="0"/>
        <w:snapToGrid w:val="0"/>
        <w:ind w:firstLine="0" w:firstLineChars="0"/>
        <w:jc w:val="center"/>
        <w:rPr>
          <w:rFonts w:asciiTheme="minorEastAsia" w:hAnsiTheme="minorEastAsia" w:eastAsiaTheme="minorEastAsia"/>
          <w:color w:val="000000" w:themeColor="text1"/>
          <w:sz w:val="21"/>
          <w:szCs w:val="21"/>
        </w:rPr>
      </w:pPr>
      <w:r>
        <w:rPr>
          <w:rFonts w:hint="eastAsia" w:cs="Arial" w:asciiTheme="minorEastAsia" w:hAnsiTheme="minorEastAsia" w:eastAsiaTheme="minorEastAsia"/>
          <w:b/>
          <w:sz w:val="21"/>
          <w:szCs w:val="21"/>
        </w:rPr>
        <w:t>《</w:t>
      </w:r>
      <w:r>
        <w:rPr>
          <w:rFonts w:cs="Arial" w:asciiTheme="minorEastAsia" w:hAnsiTheme="minorEastAsia" w:eastAsiaTheme="minorEastAsia"/>
          <w:b/>
          <w:sz w:val="21"/>
          <w:szCs w:val="21"/>
        </w:rPr>
        <w:t>安全技术与管理》（专科）</w:t>
      </w:r>
      <w:r>
        <w:rPr>
          <w:rFonts w:hint="eastAsia" w:cs="Arial" w:asciiTheme="minorEastAsia" w:hAnsiTheme="minorEastAsia" w:eastAsiaTheme="minorEastAsia"/>
          <w:b/>
          <w:sz w:val="21"/>
          <w:szCs w:val="21"/>
        </w:rPr>
        <w:t>专业实训、实习仪器设备图片</w:t>
      </w:r>
    </w:p>
    <w:tbl>
      <w:tblPr>
        <w:tblStyle w:val="17"/>
        <w:tblpPr w:leftFromText="180" w:rightFromText="180" w:vertAnchor="text" w:tblpY="1"/>
        <w:tblOverlap w:val="never"/>
        <w:tblW w:w="8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6" w:type="dxa"/>
          </w:tcPr>
          <w:p>
            <w:pPr>
              <w:adjustRightInd w:val="0"/>
              <w:snapToGrid w:val="0"/>
              <w:ind w:firstLine="0" w:firstLineChars="0"/>
              <w:rPr>
                <w:rFonts w:asciiTheme="minorEastAsia" w:hAnsiTheme="minorEastAsia" w:eastAsiaTheme="minorEastAsia"/>
                <w:kern w:val="0"/>
                <w:sz w:val="21"/>
                <w:szCs w:val="21"/>
              </w:rPr>
            </w:pPr>
          </w:p>
          <w:p>
            <w:pPr>
              <w:adjustRightInd w:val="0"/>
              <w:snapToGrid w:val="0"/>
              <w:ind w:firstLine="0" w:firstLineChars="0"/>
              <w:rPr>
                <w:rFonts w:asciiTheme="minorEastAsia" w:hAnsiTheme="minorEastAsia" w:eastAsiaTheme="minorEastAsia"/>
                <w:color w:val="000000" w:themeColor="text1"/>
                <w:kern w:val="0"/>
                <w:sz w:val="21"/>
                <w:szCs w:val="21"/>
              </w:rPr>
            </w:pPr>
            <w:r>
              <w:rPr>
                <w:rFonts w:asciiTheme="minorEastAsia" w:hAnsiTheme="minorEastAsia" w:eastAsiaTheme="minorEastAsia"/>
                <w:kern w:val="0"/>
                <w:sz w:val="21"/>
                <w:szCs w:val="21"/>
              </w:rPr>
              <w:drawing>
                <wp:anchor distT="0" distB="0" distL="114300" distR="114300" simplePos="0" relativeHeight="251661312" behindDoc="0" locked="0" layoutInCell="1" allowOverlap="1">
                  <wp:simplePos x="0" y="0"/>
                  <wp:positionH relativeFrom="margin">
                    <wp:posOffset>704850</wp:posOffset>
                  </wp:positionH>
                  <wp:positionV relativeFrom="margin">
                    <wp:posOffset>71120</wp:posOffset>
                  </wp:positionV>
                  <wp:extent cx="4600575" cy="3216910"/>
                  <wp:effectExtent l="0" t="0" r="9525" b="2540"/>
                  <wp:wrapSquare wrapText="bothSides"/>
                  <wp:docPr id="3" name="图片 3" descr="http://www.shylzz.com/uploadfile/20140415104646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shylzz.com/uploadfile/2014041510464664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00575" cy="32169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6" w:type="dxa"/>
          </w:tcPr>
          <w:p>
            <w:pPr>
              <w:adjustRightInd w:val="0"/>
              <w:snapToGrid w:val="0"/>
              <w:ind w:firstLine="0" w:firstLineChars="0"/>
              <w:jc w:val="center"/>
              <w:rPr>
                <w:rFonts w:asciiTheme="minorEastAsia" w:hAnsiTheme="minorEastAsia" w:eastAsiaTheme="minorEastAsia"/>
                <w:color w:val="000000" w:themeColor="text1"/>
                <w:kern w:val="0"/>
                <w:sz w:val="21"/>
                <w:szCs w:val="21"/>
              </w:rPr>
            </w:pPr>
            <w:r>
              <w:rPr>
                <w:rFonts w:hint="eastAsia" w:asciiTheme="minorEastAsia" w:hAnsiTheme="minorEastAsia" w:eastAsiaTheme="minorEastAsia"/>
                <w:color w:val="000000" w:themeColor="text1"/>
                <w:kern w:val="0"/>
                <w:sz w:val="21"/>
                <w:szCs w:val="21"/>
              </w:rPr>
              <w:t>电气安全试验设备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6" w:type="dxa"/>
          </w:tcPr>
          <w:p>
            <w:pPr>
              <w:adjustRightInd w:val="0"/>
              <w:snapToGrid w:val="0"/>
              <w:ind w:firstLine="0" w:firstLineChars="0"/>
              <w:jc w:val="center"/>
              <w:rPr>
                <w:rFonts w:asciiTheme="minorEastAsia" w:hAnsiTheme="minorEastAsia" w:eastAsiaTheme="minorEastAsia"/>
                <w:color w:val="000000" w:themeColor="text1"/>
                <w:kern w:val="0"/>
                <w:sz w:val="21"/>
                <w:szCs w:val="21"/>
              </w:rPr>
            </w:pPr>
            <w:r>
              <w:rPr>
                <w:rFonts w:asciiTheme="minorEastAsia" w:hAnsiTheme="minorEastAsia" w:eastAsiaTheme="minorEastAsia"/>
                <w:kern w:val="0"/>
                <w:sz w:val="21"/>
                <w:szCs w:val="21"/>
              </w:rPr>
              <w:drawing>
                <wp:anchor distT="0" distB="0" distL="114300" distR="114300" simplePos="0" relativeHeight="251660288" behindDoc="0" locked="0" layoutInCell="1" allowOverlap="1">
                  <wp:simplePos x="0" y="0"/>
                  <wp:positionH relativeFrom="margin">
                    <wp:posOffset>1076325</wp:posOffset>
                  </wp:positionH>
                  <wp:positionV relativeFrom="margin">
                    <wp:posOffset>276225</wp:posOffset>
                  </wp:positionV>
                  <wp:extent cx="5334000" cy="4124325"/>
                  <wp:effectExtent l="0" t="0" r="0" b="9525"/>
                  <wp:wrapSquare wrapText="bothSides"/>
                  <wp:docPr id="2" name="图片 2" descr="http://image.cn.made-in-china.com/prodzip/000-CewEsTNhGO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age.cn.made-in-china.com/prodzip/000-CewEsTNhGOq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34000" cy="41243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26" w:type="dxa"/>
          </w:tcPr>
          <w:p>
            <w:pPr>
              <w:adjustRightInd w:val="0"/>
              <w:snapToGrid w:val="0"/>
              <w:ind w:firstLine="0" w:firstLineChars="0"/>
              <w:jc w:val="center"/>
              <w:rPr>
                <w:rFonts w:asciiTheme="minorEastAsia" w:hAnsiTheme="minorEastAsia" w:eastAsiaTheme="minorEastAsia"/>
                <w:color w:val="000000" w:themeColor="text1"/>
                <w:kern w:val="0"/>
                <w:sz w:val="21"/>
                <w:szCs w:val="21"/>
              </w:rPr>
            </w:pPr>
            <w:r>
              <w:rPr>
                <w:rFonts w:hint="eastAsia" w:asciiTheme="minorEastAsia" w:hAnsiTheme="minorEastAsia" w:eastAsiaTheme="minorEastAsia"/>
                <w:color w:val="000000" w:themeColor="text1"/>
                <w:kern w:val="0"/>
                <w:sz w:val="21"/>
                <w:szCs w:val="21"/>
              </w:rPr>
              <w:t>防火防爆</w:t>
            </w:r>
            <w:r>
              <w:rPr>
                <w:rFonts w:asciiTheme="minorEastAsia" w:hAnsiTheme="minorEastAsia" w:eastAsiaTheme="minorEastAsia"/>
                <w:color w:val="000000" w:themeColor="text1"/>
                <w:kern w:val="0"/>
                <w:sz w:val="21"/>
                <w:szCs w:val="21"/>
              </w:rPr>
              <w:t>实验设备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6" w:type="dxa"/>
          </w:tcPr>
          <w:p>
            <w:pPr>
              <w:adjustRightInd w:val="0"/>
              <w:snapToGrid w:val="0"/>
              <w:ind w:firstLine="0" w:firstLineChars="0"/>
              <w:jc w:val="center"/>
              <w:rPr>
                <w:rFonts w:asciiTheme="minorEastAsia" w:hAnsiTheme="minorEastAsia" w:eastAsiaTheme="minorEastAsia"/>
                <w:color w:val="000000" w:themeColor="text1"/>
                <w:kern w:val="0"/>
                <w:sz w:val="21"/>
                <w:szCs w:val="21"/>
              </w:rPr>
            </w:pPr>
            <w:r>
              <w:rPr>
                <w:rFonts w:asciiTheme="minorEastAsia" w:hAnsiTheme="minorEastAsia" w:eastAsiaTheme="minorEastAsia"/>
                <w:kern w:val="0"/>
                <w:sz w:val="21"/>
                <w:szCs w:val="21"/>
              </w:rPr>
              <w:drawing>
                <wp:anchor distT="0" distB="0" distL="114300" distR="114300" simplePos="0" relativeHeight="251662336" behindDoc="0" locked="0" layoutInCell="1" allowOverlap="1">
                  <wp:simplePos x="0" y="0"/>
                  <wp:positionH relativeFrom="margin">
                    <wp:posOffset>55880</wp:posOffset>
                  </wp:positionH>
                  <wp:positionV relativeFrom="margin">
                    <wp:posOffset>4445</wp:posOffset>
                  </wp:positionV>
                  <wp:extent cx="5457825" cy="4093210"/>
                  <wp:effectExtent l="0" t="0" r="9525" b="2540"/>
                  <wp:wrapSquare wrapText="bothSides"/>
                  <wp:docPr id="4" name="图片 4" descr="http://img.itc.cn/photo/o50Q642GE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img.itc.cn/photo/o50Q642GEM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57825" cy="4093210"/>
                          </a:xfrm>
                          <a:prstGeom prst="rect">
                            <a:avLst/>
                          </a:prstGeom>
                          <a:noFill/>
                          <a:ln>
                            <a:noFill/>
                          </a:ln>
                        </pic:spPr>
                      </pic:pic>
                    </a:graphicData>
                  </a:graphic>
                </wp:anchor>
              </w:drawing>
            </w:r>
            <w:r>
              <w:rPr>
                <w:rFonts w:hint="eastAsia" w:asciiTheme="minorEastAsia" w:hAnsiTheme="minorEastAsia" w:eastAsiaTheme="minorEastAsia"/>
                <w:color w:val="000000" w:themeColor="text1"/>
                <w:kern w:val="0"/>
                <w:sz w:val="21"/>
                <w:szCs w:val="21"/>
              </w:rPr>
              <w:t>职业</w:t>
            </w:r>
            <w:r>
              <w:rPr>
                <w:rFonts w:asciiTheme="minorEastAsia" w:hAnsiTheme="minorEastAsia" w:eastAsiaTheme="minorEastAsia"/>
                <w:color w:val="000000" w:themeColor="text1"/>
                <w:kern w:val="0"/>
                <w:sz w:val="21"/>
                <w:szCs w:val="21"/>
              </w:rPr>
              <w:t>卫生实验设备</w:t>
            </w:r>
          </w:p>
        </w:tc>
      </w:tr>
    </w:tbl>
    <w:p>
      <w:pPr>
        <w:adjustRightInd w:val="0"/>
        <w:snapToGrid w:val="0"/>
        <w:ind w:firstLine="0" w:firstLineChars="0"/>
        <w:rPr>
          <w:rFonts w:asciiTheme="minorEastAsia" w:hAnsiTheme="minorEastAsia" w:eastAsiaTheme="minorEastAsia"/>
          <w:b/>
          <w:color w:val="000000" w:themeColor="text1"/>
          <w:sz w:val="21"/>
          <w:szCs w:val="21"/>
        </w:rPr>
      </w:pPr>
    </w:p>
    <w:p>
      <w:pPr>
        <w:adjustRightInd w:val="0"/>
        <w:snapToGrid w:val="0"/>
        <w:ind w:firstLine="422"/>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fldChar w:fldCharType="begin"/>
      </w:r>
      <w:r>
        <w:rPr>
          <w:rFonts w:hint="eastAsia" w:asciiTheme="minorEastAsia" w:hAnsiTheme="minorEastAsia" w:eastAsiaTheme="minorEastAsia"/>
          <w:b/>
          <w:color w:val="000000" w:themeColor="text1"/>
          <w:sz w:val="21"/>
          <w:szCs w:val="21"/>
        </w:rPr>
        <w:instrText xml:space="preserve">= 2 \* GB3</w:instrText>
      </w:r>
      <w:r>
        <w:rPr>
          <w:rFonts w:asciiTheme="minorEastAsia" w:hAnsiTheme="minorEastAsia" w:eastAsiaTheme="minorEastAsia"/>
          <w:b/>
          <w:color w:val="000000" w:themeColor="text1"/>
          <w:sz w:val="21"/>
          <w:szCs w:val="21"/>
        </w:rPr>
        <w:fldChar w:fldCharType="separate"/>
      </w:r>
      <w:r>
        <w:rPr>
          <w:rFonts w:hint="eastAsia" w:asciiTheme="minorEastAsia" w:hAnsiTheme="minorEastAsia" w:eastAsiaTheme="minorEastAsia"/>
          <w:b/>
          <w:color w:val="000000" w:themeColor="text1"/>
          <w:sz w:val="21"/>
          <w:szCs w:val="21"/>
        </w:rPr>
        <w:t>②</w:t>
      </w:r>
      <w:r>
        <w:rPr>
          <w:rFonts w:asciiTheme="minorEastAsia" w:hAnsiTheme="minorEastAsia" w:eastAsiaTheme="minorEastAsia"/>
          <w:b/>
          <w:color w:val="000000" w:themeColor="text1"/>
          <w:sz w:val="21"/>
          <w:szCs w:val="21"/>
        </w:rPr>
        <w:fldChar w:fldCharType="end"/>
      </w:r>
      <w:r>
        <w:rPr>
          <w:rFonts w:hint="eastAsia" w:asciiTheme="minorEastAsia" w:hAnsiTheme="minorEastAsia" w:eastAsiaTheme="minorEastAsia"/>
          <w:b/>
          <w:color w:val="000000" w:themeColor="text1"/>
          <w:sz w:val="21"/>
          <w:szCs w:val="21"/>
        </w:rPr>
        <w:t>校外实训场所（实习基地）</w:t>
      </w:r>
    </w:p>
    <w:p>
      <w:pPr>
        <w:ind w:firstLine="42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国家开放大学西安分部已与多家单位签订了校外实习基地协议，为学生提供专业教学实训条件，切实保证学生能够在单位顶岗实习。</w:t>
      </w:r>
    </w:p>
    <w:p>
      <w:pPr>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目前已确定的第一批校外实践基地名单，</w:t>
      </w:r>
      <w:r>
        <w:rPr>
          <w:rFonts w:asciiTheme="minorEastAsia" w:hAnsiTheme="minorEastAsia" w:eastAsiaTheme="minorEastAsia"/>
          <w:sz w:val="21"/>
          <w:szCs w:val="21"/>
        </w:rPr>
        <w:t>详见</w:t>
      </w:r>
      <w:r>
        <w:rPr>
          <w:rFonts w:hint="eastAsia" w:asciiTheme="minorEastAsia" w:hAnsiTheme="minorEastAsia" w:eastAsiaTheme="minorEastAsia"/>
          <w:sz w:val="21"/>
          <w:szCs w:val="21"/>
        </w:rPr>
        <w:t>“</w:t>
      </w:r>
      <w:r>
        <w:rPr>
          <w:rFonts w:asciiTheme="minorEastAsia" w:hAnsiTheme="minorEastAsia" w:eastAsiaTheme="minorEastAsia"/>
          <w:sz w:val="21"/>
          <w:szCs w:val="21"/>
        </w:rPr>
        <w:t>表2 校外实践基地名单”</w:t>
      </w:r>
    </w:p>
    <w:p>
      <w:pPr>
        <w:ind w:firstLine="422"/>
        <w:jc w:val="center"/>
        <w:rPr>
          <w:rFonts w:asciiTheme="minorEastAsia" w:hAnsiTheme="minorEastAsia" w:eastAsiaTheme="minorEastAsia"/>
          <w:b/>
          <w:sz w:val="21"/>
          <w:szCs w:val="21"/>
        </w:rPr>
      </w:pPr>
      <w:r>
        <w:rPr>
          <w:rFonts w:asciiTheme="minorEastAsia" w:hAnsiTheme="minorEastAsia" w:eastAsiaTheme="minorEastAsia"/>
          <w:b/>
          <w:sz w:val="21"/>
          <w:szCs w:val="21"/>
        </w:rPr>
        <w:t xml:space="preserve">表2 </w:t>
      </w:r>
      <w:r>
        <w:rPr>
          <w:rFonts w:hint="eastAsia" w:asciiTheme="minorEastAsia" w:hAnsiTheme="minorEastAsia" w:eastAsiaTheme="minorEastAsia"/>
          <w:b/>
          <w:sz w:val="21"/>
          <w:szCs w:val="21"/>
        </w:rPr>
        <w:t>校外</w:t>
      </w:r>
      <w:r>
        <w:rPr>
          <w:rFonts w:asciiTheme="minorEastAsia" w:hAnsiTheme="minorEastAsia" w:eastAsiaTheme="minorEastAsia"/>
          <w:b/>
          <w:sz w:val="21"/>
          <w:szCs w:val="21"/>
        </w:rPr>
        <w:t>实践基地名单</w:t>
      </w:r>
    </w:p>
    <w:tbl>
      <w:tblPr>
        <w:tblStyle w:val="16"/>
        <w:tblW w:w="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pPr>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序号</w:t>
            </w:r>
          </w:p>
        </w:tc>
        <w:tc>
          <w:tcPr>
            <w:tcW w:w="4082" w:type="dxa"/>
            <w:vAlign w:val="center"/>
          </w:tcPr>
          <w:p>
            <w:pPr>
              <w:ind w:firstLine="0" w:firstLineChars="0"/>
              <w:jc w:val="center"/>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职业卫生监管局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公路安全调查局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道路安全监督管理局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生产安全事故统计分析局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w:t>
            </w:r>
          </w:p>
        </w:tc>
        <w:tc>
          <w:tcPr>
            <w:tcW w:w="4082" w:type="dxa"/>
            <w:vAlign w:val="center"/>
          </w:tcPr>
          <w:p>
            <w:pPr>
              <w:ind w:firstLine="0" w:firstLineChars="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西安市消防总队</w:t>
            </w:r>
          </w:p>
        </w:tc>
      </w:tr>
    </w:tbl>
    <w:p>
      <w:pPr>
        <w:pStyle w:val="14"/>
        <w:spacing w:beforeLines="100" w:afterLines="100"/>
        <w:ind w:firstLine="482"/>
        <w:rPr>
          <w:rFonts w:asciiTheme="minorEastAsia" w:hAnsiTheme="minorEastAsia" w:eastAsiaTheme="minorEastAsia"/>
          <w:color w:val="000000" w:themeColor="text1"/>
          <w:sz w:val="24"/>
          <w:szCs w:val="24"/>
        </w:rPr>
      </w:pPr>
      <w:bookmarkStart w:id="13" w:name="_Toc454441804"/>
      <w:r>
        <w:rPr>
          <w:rFonts w:hint="eastAsia" w:asciiTheme="minorEastAsia" w:hAnsiTheme="minorEastAsia" w:eastAsiaTheme="minorEastAsia"/>
          <w:sz w:val="24"/>
          <w:szCs w:val="24"/>
        </w:rPr>
        <w:t>三</w:t>
      </w:r>
      <w:r>
        <w:rPr>
          <w:rFonts w:asciiTheme="minorEastAsia" w:hAnsiTheme="minorEastAsia" w:eastAsiaTheme="minorEastAsia"/>
          <w:sz w:val="24"/>
          <w:szCs w:val="24"/>
        </w:rPr>
        <w:t>、</w:t>
      </w:r>
      <w:r>
        <w:rPr>
          <w:rFonts w:hint="eastAsia" w:asciiTheme="minorEastAsia" w:hAnsiTheme="minorEastAsia" w:eastAsiaTheme="minorEastAsia"/>
          <w:sz w:val="24"/>
          <w:szCs w:val="24"/>
        </w:rPr>
        <w:t>开设安全</w:t>
      </w:r>
      <w:r>
        <w:rPr>
          <w:rFonts w:asciiTheme="minorEastAsia" w:hAnsiTheme="minorEastAsia" w:eastAsiaTheme="minorEastAsia"/>
          <w:sz w:val="24"/>
          <w:szCs w:val="24"/>
        </w:rPr>
        <w:t>技术与管理</w:t>
      </w:r>
      <w:r>
        <w:rPr>
          <w:rFonts w:hint="eastAsia" w:asciiTheme="minorEastAsia" w:hAnsiTheme="minorEastAsia" w:eastAsiaTheme="minorEastAsia"/>
          <w:sz w:val="24"/>
          <w:szCs w:val="24"/>
        </w:rPr>
        <w:t>专业的人才培养定位分析</w:t>
      </w:r>
      <w:bookmarkEnd w:id="13"/>
    </w:p>
    <w:p>
      <w:pPr>
        <w:adjustRightInd w:val="0"/>
        <w:snapToGrid w:val="0"/>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根据对安全职业工作任务及对能力、素质、知识结构的要求分析，明确了专业培养目标定位及所对应的能力、素质和知识结构。</w:t>
      </w:r>
    </w:p>
    <w:p>
      <w:pPr>
        <w:pStyle w:val="2"/>
        <w:spacing w:before="326" w:after="326"/>
        <w:ind w:firstLine="422"/>
        <w:rPr>
          <w:rFonts w:hint="eastAsia" w:asciiTheme="minorEastAsia" w:hAnsiTheme="minorEastAsia" w:eastAsiaTheme="minorEastAsia"/>
          <w:sz w:val="21"/>
          <w:szCs w:val="21"/>
        </w:rPr>
      </w:pPr>
      <w:bookmarkStart w:id="14" w:name="_Toc454441805"/>
      <w:r>
        <w:rPr>
          <w:rFonts w:hint="eastAsia" w:asciiTheme="minorEastAsia" w:hAnsiTheme="minorEastAsia" w:eastAsiaTheme="minorEastAsia"/>
          <w:sz w:val="21"/>
          <w:szCs w:val="21"/>
        </w:rPr>
        <w:t>（一）专业培养目标</w:t>
      </w:r>
      <w:bookmarkEnd w:id="14"/>
    </w:p>
    <w:p>
      <w:pPr>
        <w:adjustRightInd w:val="0"/>
        <w:snapToGrid w:val="0"/>
        <w:spacing w:line="360" w:lineRule="auto"/>
        <w:ind w:firstLine="420"/>
        <w:rPr>
          <w:rFonts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本</w:t>
      </w:r>
      <w:r>
        <w:rPr>
          <w:rFonts w:asciiTheme="minorEastAsia" w:hAnsiTheme="minorEastAsia" w:eastAsiaTheme="minorEastAsia"/>
          <w:color w:val="000000"/>
          <w:sz w:val="21"/>
          <w:szCs w:val="21"/>
          <w:shd w:val="clear" w:color="auto" w:fill="FFFFFF"/>
        </w:rPr>
        <w:t>专业</w:t>
      </w:r>
      <w:r>
        <w:rPr>
          <w:rFonts w:hint="eastAsia" w:asciiTheme="minorEastAsia" w:hAnsiTheme="minorEastAsia" w:eastAsiaTheme="minorEastAsia"/>
          <w:color w:val="000000"/>
          <w:sz w:val="21"/>
          <w:szCs w:val="21"/>
          <w:shd w:val="clear" w:color="auto" w:fill="FFFFFF"/>
        </w:rPr>
        <w:t>培养</w:t>
      </w:r>
      <w:r>
        <w:rPr>
          <w:rFonts w:asciiTheme="minorEastAsia" w:hAnsiTheme="minorEastAsia" w:eastAsiaTheme="minorEastAsia"/>
          <w:color w:val="000000"/>
          <w:sz w:val="21"/>
          <w:szCs w:val="21"/>
          <w:shd w:val="clear" w:color="auto" w:fill="FFFFFF"/>
        </w:rPr>
        <w:t>面向生产、建设、管理一线</w:t>
      </w:r>
      <w:r>
        <w:rPr>
          <w:rFonts w:hint="eastAsia" w:asciiTheme="minorEastAsia" w:hAnsiTheme="minorEastAsia" w:eastAsiaTheme="minorEastAsia"/>
          <w:color w:val="000000"/>
          <w:sz w:val="21"/>
          <w:szCs w:val="21"/>
          <w:shd w:val="clear" w:color="auto" w:fill="FFFFFF"/>
        </w:rPr>
        <w:t>，能</w:t>
      </w:r>
      <w:r>
        <w:rPr>
          <w:rFonts w:asciiTheme="minorEastAsia" w:hAnsiTheme="minorEastAsia" w:eastAsiaTheme="minorEastAsia"/>
          <w:color w:val="000000"/>
          <w:sz w:val="21"/>
          <w:szCs w:val="21"/>
          <w:shd w:val="clear" w:color="auto" w:fill="FFFFFF"/>
        </w:rPr>
        <w:t>掌握安全科学、安全工程及技术的</w:t>
      </w:r>
      <w:r>
        <w:rPr>
          <w:rFonts w:hint="eastAsia" w:asciiTheme="minorEastAsia" w:hAnsiTheme="minorEastAsia" w:eastAsiaTheme="minorEastAsia"/>
          <w:color w:val="000000"/>
          <w:sz w:val="21"/>
          <w:szCs w:val="21"/>
          <w:shd w:val="clear" w:color="auto" w:fill="FFFFFF"/>
        </w:rPr>
        <w:t>基础</w:t>
      </w:r>
      <w:r>
        <w:rPr>
          <w:rFonts w:asciiTheme="minorEastAsia" w:hAnsiTheme="minorEastAsia" w:eastAsiaTheme="minorEastAsia"/>
          <w:color w:val="000000"/>
          <w:sz w:val="21"/>
          <w:szCs w:val="21"/>
          <w:shd w:val="clear" w:color="auto" w:fill="FFFFFF"/>
        </w:rPr>
        <w:t>理论知识，具有安全检测、安全评价、</w:t>
      </w:r>
      <w:r>
        <w:rPr>
          <w:rFonts w:hint="eastAsia" w:asciiTheme="minorEastAsia" w:hAnsiTheme="minorEastAsia" w:eastAsiaTheme="minorEastAsia"/>
          <w:color w:val="000000"/>
          <w:sz w:val="21"/>
          <w:szCs w:val="21"/>
          <w:shd w:val="clear" w:color="auto" w:fill="FFFFFF"/>
        </w:rPr>
        <w:t>安全</w:t>
      </w:r>
      <w:r>
        <w:rPr>
          <w:rFonts w:asciiTheme="minorEastAsia" w:hAnsiTheme="minorEastAsia" w:eastAsiaTheme="minorEastAsia"/>
          <w:color w:val="000000"/>
          <w:sz w:val="21"/>
          <w:szCs w:val="21"/>
          <w:shd w:val="clear" w:color="auto" w:fill="FFFFFF"/>
        </w:rPr>
        <w:t>管理</w:t>
      </w:r>
      <w:r>
        <w:rPr>
          <w:rFonts w:hint="eastAsia" w:asciiTheme="minorEastAsia" w:hAnsiTheme="minorEastAsia" w:eastAsiaTheme="minorEastAsia"/>
          <w:color w:val="000000"/>
          <w:sz w:val="21"/>
          <w:szCs w:val="21"/>
          <w:shd w:val="clear" w:color="auto" w:fill="FFFFFF"/>
        </w:rPr>
        <w:t>、安全教育培训等</w:t>
      </w:r>
      <w:r>
        <w:rPr>
          <w:rFonts w:asciiTheme="minorEastAsia" w:hAnsiTheme="minorEastAsia" w:eastAsiaTheme="minorEastAsia"/>
          <w:color w:val="000000"/>
          <w:sz w:val="21"/>
          <w:szCs w:val="21"/>
          <w:shd w:val="clear" w:color="auto" w:fill="FFFFFF"/>
        </w:rPr>
        <w:t>安全核心能力</w:t>
      </w:r>
      <w:r>
        <w:rPr>
          <w:rFonts w:hint="eastAsia" w:asciiTheme="minorEastAsia" w:hAnsiTheme="minorEastAsia" w:eastAsiaTheme="minorEastAsia"/>
          <w:color w:val="000000"/>
          <w:sz w:val="21"/>
          <w:szCs w:val="21"/>
          <w:shd w:val="clear" w:color="auto" w:fill="FFFFFF"/>
        </w:rPr>
        <w:t>及</w:t>
      </w:r>
      <w:r>
        <w:rPr>
          <w:rFonts w:asciiTheme="minorEastAsia" w:hAnsiTheme="minorEastAsia" w:eastAsiaTheme="minorEastAsia"/>
          <w:color w:val="000000"/>
          <w:sz w:val="21"/>
          <w:szCs w:val="21"/>
          <w:shd w:val="clear" w:color="auto" w:fill="FFFFFF"/>
        </w:rPr>
        <w:t>土建安全技术、交通安全技术管理、</w:t>
      </w:r>
      <w:r>
        <w:rPr>
          <w:rFonts w:hint="eastAsia" w:asciiTheme="minorEastAsia" w:hAnsiTheme="minorEastAsia" w:eastAsiaTheme="minorEastAsia"/>
          <w:color w:val="000000"/>
          <w:sz w:val="21"/>
          <w:szCs w:val="21"/>
          <w:shd w:val="clear" w:color="auto" w:fill="FFFFFF"/>
        </w:rPr>
        <w:t>消防工程</w:t>
      </w:r>
      <w:r>
        <w:rPr>
          <w:rFonts w:asciiTheme="minorEastAsia" w:hAnsiTheme="minorEastAsia" w:eastAsiaTheme="minorEastAsia"/>
          <w:color w:val="000000"/>
          <w:sz w:val="21"/>
          <w:szCs w:val="21"/>
          <w:shd w:val="clear" w:color="auto" w:fill="FFFFFF"/>
        </w:rPr>
        <w:t>等</w:t>
      </w:r>
      <w:r>
        <w:rPr>
          <w:rFonts w:hint="eastAsia" w:asciiTheme="minorEastAsia" w:hAnsiTheme="minorEastAsia" w:eastAsiaTheme="minorEastAsia"/>
          <w:color w:val="000000"/>
          <w:sz w:val="21"/>
          <w:szCs w:val="21"/>
          <w:shd w:val="clear" w:color="auto" w:fill="FFFFFF"/>
        </w:rPr>
        <w:t>行业安全</w:t>
      </w:r>
      <w:r>
        <w:rPr>
          <w:rFonts w:asciiTheme="minorEastAsia" w:hAnsiTheme="minorEastAsia" w:eastAsiaTheme="minorEastAsia"/>
          <w:color w:val="000000"/>
          <w:sz w:val="21"/>
          <w:szCs w:val="21"/>
          <w:shd w:val="clear" w:color="auto" w:fill="FFFFFF"/>
        </w:rPr>
        <w:t>能力的专业技术人</w:t>
      </w:r>
      <w:r>
        <w:rPr>
          <w:rFonts w:hint="eastAsia" w:asciiTheme="minorEastAsia" w:hAnsiTheme="minorEastAsia" w:eastAsiaTheme="minorEastAsia"/>
          <w:color w:val="000000"/>
          <w:sz w:val="21"/>
          <w:szCs w:val="21"/>
          <w:shd w:val="clear" w:color="auto" w:fill="FFFFFF"/>
        </w:rPr>
        <w:t>才，</w:t>
      </w:r>
      <w:r>
        <w:rPr>
          <w:rFonts w:asciiTheme="minorEastAsia" w:hAnsiTheme="minorEastAsia" w:eastAsiaTheme="minorEastAsia"/>
          <w:color w:val="000000"/>
          <w:sz w:val="21"/>
          <w:szCs w:val="21"/>
          <w:shd w:val="clear" w:color="auto" w:fill="FFFFFF"/>
        </w:rPr>
        <w:t>并具有时代创新精神和可持续发展的能力</w:t>
      </w:r>
      <w:r>
        <w:rPr>
          <w:rFonts w:hint="eastAsia" w:asciiTheme="minorEastAsia" w:hAnsiTheme="minorEastAsia" w:eastAsiaTheme="minorEastAsia"/>
          <w:color w:val="000000"/>
          <w:sz w:val="21"/>
          <w:szCs w:val="21"/>
          <w:shd w:val="clear" w:color="auto" w:fill="FFFFFF"/>
        </w:rPr>
        <w:t>、</w:t>
      </w:r>
      <w:r>
        <w:rPr>
          <w:rFonts w:asciiTheme="minorEastAsia" w:hAnsiTheme="minorEastAsia" w:eastAsiaTheme="minorEastAsia"/>
          <w:color w:val="000000"/>
          <w:sz w:val="21"/>
          <w:szCs w:val="21"/>
          <w:shd w:val="clear" w:color="auto" w:fill="FFFFFF"/>
        </w:rPr>
        <w:t>高素质</w:t>
      </w:r>
      <w:r>
        <w:rPr>
          <w:rFonts w:hint="eastAsia" w:asciiTheme="minorEastAsia" w:hAnsiTheme="minorEastAsia" w:eastAsiaTheme="minorEastAsia"/>
          <w:color w:val="000000"/>
          <w:sz w:val="21"/>
          <w:szCs w:val="21"/>
          <w:shd w:val="clear" w:color="auto" w:fill="FFFFFF"/>
        </w:rPr>
        <w:t>的</w:t>
      </w:r>
      <w:r>
        <w:rPr>
          <w:rFonts w:asciiTheme="minorEastAsia" w:hAnsiTheme="minorEastAsia" w:eastAsiaTheme="minorEastAsia"/>
          <w:color w:val="000000"/>
          <w:sz w:val="21"/>
          <w:szCs w:val="21"/>
          <w:shd w:val="clear" w:color="auto" w:fill="FFFFFF"/>
        </w:rPr>
        <w:t>技术应用型人才。</w:t>
      </w:r>
    </w:p>
    <w:p>
      <w:pPr>
        <w:pStyle w:val="2"/>
        <w:spacing w:before="326" w:after="326"/>
        <w:ind w:firstLine="422"/>
        <w:rPr>
          <w:rFonts w:asciiTheme="minorEastAsia" w:hAnsiTheme="minorEastAsia" w:eastAsiaTheme="minorEastAsia"/>
          <w:sz w:val="21"/>
          <w:szCs w:val="21"/>
        </w:rPr>
      </w:pPr>
      <w:bookmarkStart w:id="15" w:name="_Toc454441806"/>
      <w:r>
        <w:rPr>
          <w:rFonts w:hint="eastAsia" w:asciiTheme="minorEastAsia" w:hAnsiTheme="minorEastAsia" w:eastAsiaTheme="minorEastAsia"/>
          <w:sz w:val="21"/>
          <w:szCs w:val="21"/>
        </w:rPr>
        <w:t>（二）培养规格</w:t>
      </w:r>
      <w:bookmarkEnd w:id="15"/>
    </w:p>
    <w:p>
      <w:pPr>
        <w:pStyle w:val="10"/>
        <w:spacing w:line="360" w:lineRule="auto"/>
        <w:ind w:firstLine="422"/>
        <w:rPr>
          <w:rFonts w:asciiTheme="minorEastAsia" w:hAnsiTheme="minorEastAsia" w:eastAsiaTheme="minorEastAsia"/>
          <w:sz w:val="21"/>
          <w:szCs w:val="21"/>
        </w:rPr>
      </w:pPr>
      <w:bookmarkStart w:id="16" w:name="_Toc454441807"/>
      <w:r>
        <w:rPr>
          <w:rFonts w:cs="Times New Roman" w:asciiTheme="minorEastAsia" w:hAnsiTheme="minorEastAsia" w:eastAsiaTheme="minorEastAsia"/>
          <w:sz w:val="21"/>
          <w:szCs w:val="21"/>
        </w:rPr>
        <w:t>1.</w:t>
      </w:r>
      <w:r>
        <w:rPr>
          <w:rFonts w:hint="eastAsia" w:asciiTheme="minorEastAsia" w:hAnsiTheme="minorEastAsia" w:eastAsiaTheme="minorEastAsia"/>
          <w:sz w:val="21"/>
          <w:szCs w:val="21"/>
        </w:rPr>
        <w:t>知识方面</w:t>
      </w:r>
      <w:bookmarkEnd w:id="16"/>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lang w:val="en-US" w:eastAsia="zh-CN"/>
        </w:rPr>
      </w:pPr>
      <w:r>
        <w:rPr>
          <w:rFonts w:hint="eastAsia" w:asciiTheme="minorEastAsia" w:hAnsiTheme="minorEastAsia" w:eastAsiaTheme="minorEastAsia"/>
          <w:color w:val="000000"/>
          <w:sz w:val="21"/>
          <w:szCs w:val="21"/>
          <w:shd w:val="clear" w:color="auto" w:fill="FFFFFF"/>
          <w:lang w:val="en-US" w:eastAsia="zh-CN"/>
        </w:rPr>
        <w:t>（1）安全生产法律法规，国家标准、行业标准；</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lang w:val="en-US" w:eastAsia="zh-CN"/>
        </w:rPr>
      </w:pPr>
      <w:r>
        <w:rPr>
          <w:rFonts w:hint="eastAsia" w:asciiTheme="minorEastAsia" w:hAnsiTheme="minorEastAsia" w:eastAsiaTheme="minorEastAsia"/>
          <w:color w:val="000000"/>
          <w:sz w:val="21"/>
          <w:szCs w:val="21"/>
          <w:shd w:val="clear" w:color="auto" w:fill="FFFFFF"/>
          <w:lang w:val="en-US" w:eastAsia="zh-CN"/>
        </w:rPr>
        <w:t>（2）安全科学与安全技术、安全系统工程；</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lang w:val="en-US" w:eastAsia="zh-CN"/>
        </w:rPr>
      </w:pPr>
      <w:r>
        <w:rPr>
          <w:rFonts w:hint="eastAsia" w:asciiTheme="minorEastAsia" w:hAnsiTheme="minorEastAsia" w:eastAsiaTheme="minorEastAsia"/>
          <w:color w:val="000000"/>
          <w:sz w:val="21"/>
          <w:szCs w:val="21"/>
          <w:shd w:val="clear" w:color="auto" w:fill="FFFFFF"/>
          <w:lang w:val="en-US" w:eastAsia="zh-CN"/>
        </w:rPr>
        <w:t>（3）现代安全管理理论；</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lang w:val="en-US" w:eastAsia="zh-CN"/>
        </w:rPr>
      </w:pPr>
      <w:r>
        <w:rPr>
          <w:rFonts w:hint="eastAsia" w:asciiTheme="minorEastAsia" w:hAnsiTheme="minorEastAsia" w:eastAsiaTheme="minorEastAsia"/>
          <w:color w:val="000000"/>
          <w:sz w:val="21"/>
          <w:szCs w:val="21"/>
          <w:shd w:val="clear" w:color="auto" w:fill="FFFFFF"/>
          <w:lang w:val="en-US" w:eastAsia="zh-CN"/>
        </w:rPr>
        <w:t>（4）安全评价理论及方法；</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lang w:val="en-US" w:eastAsia="zh-CN"/>
        </w:rPr>
      </w:pPr>
      <w:r>
        <w:rPr>
          <w:rFonts w:hint="eastAsia" w:asciiTheme="minorEastAsia" w:hAnsiTheme="minorEastAsia" w:eastAsiaTheme="minorEastAsia"/>
          <w:color w:val="000000"/>
          <w:sz w:val="21"/>
          <w:szCs w:val="21"/>
          <w:shd w:val="clear" w:color="auto" w:fill="FFFFFF"/>
          <w:lang w:val="en-US" w:eastAsia="zh-CN"/>
        </w:rPr>
        <w:t>（5）行业生产工艺知识。</w:t>
      </w:r>
    </w:p>
    <w:p>
      <w:pPr>
        <w:pStyle w:val="10"/>
        <w:numPr>
          <w:ilvl w:val="0"/>
          <w:numId w:val="1"/>
        </w:numPr>
        <w:spacing w:line="360" w:lineRule="auto"/>
        <w:ind w:firstLineChars="0"/>
        <w:rPr>
          <w:rFonts w:asciiTheme="minorEastAsia" w:hAnsiTheme="minorEastAsia" w:eastAsiaTheme="minorEastAsia"/>
          <w:sz w:val="21"/>
          <w:szCs w:val="21"/>
        </w:rPr>
      </w:pPr>
      <w:bookmarkStart w:id="17" w:name="_Toc454441808"/>
      <w:r>
        <w:rPr>
          <w:rFonts w:cs="Times New Roman" w:asciiTheme="minorEastAsia" w:hAnsiTheme="minorEastAsia" w:eastAsiaTheme="minorEastAsia"/>
          <w:sz w:val="21"/>
          <w:szCs w:val="21"/>
        </w:rPr>
        <w:t>专</w:t>
      </w:r>
      <w:r>
        <w:rPr>
          <w:rFonts w:hint="eastAsia" w:asciiTheme="minorEastAsia" w:hAnsiTheme="minorEastAsia" w:eastAsiaTheme="minorEastAsia"/>
          <w:sz w:val="21"/>
          <w:szCs w:val="21"/>
        </w:rPr>
        <w:t>业能力</w:t>
      </w:r>
      <w:bookmarkEnd w:id="17"/>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（1）工程识图与绘图能力；</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（2）现场安全急救与护理；</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（3）简单电工作业与电气隐患排查；</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（4）危险有害物质检测与监控；</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（5）系统安全分析与隐患排查；</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（6）安全宣传教育的组织实施；</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（7）企业安全管理体系建立与运行；</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（8）企业危险辨识与安全评价；</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（9）企业风险评估与事故勘查；</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（10）建筑消防监控与设施维护。</w:t>
      </w:r>
    </w:p>
    <w:p>
      <w:pPr>
        <w:pStyle w:val="10"/>
        <w:numPr>
          <w:ilvl w:val="0"/>
          <w:numId w:val="1"/>
        </w:numPr>
        <w:spacing w:line="360" w:lineRule="auto"/>
        <w:ind w:firstLineChars="0"/>
        <w:rPr>
          <w:rFonts w:cs="Times New Roman" w:asciiTheme="minorEastAsia" w:hAnsiTheme="minorEastAsia" w:eastAsiaTheme="minorEastAsia"/>
          <w:sz w:val="21"/>
          <w:szCs w:val="21"/>
        </w:rPr>
      </w:pPr>
      <w:bookmarkStart w:id="18" w:name="_Toc454441809"/>
      <w:bookmarkStart w:id="19" w:name="_Toc310694649"/>
      <w:r>
        <w:rPr>
          <w:rFonts w:cs="Times New Roman" w:asciiTheme="minorEastAsia" w:hAnsiTheme="minorEastAsia" w:eastAsiaTheme="minorEastAsia"/>
          <w:sz w:val="21"/>
          <w:szCs w:val="21"/>
        </w:rPr>
        <w:t>素质要求</w:t>
      </w:r>
      <w:bookmarkEnd w:id="18"/>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（1）具有良好的职业道德和敬业精神，积极的求知欲和创新意识；</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（2）具有良好的人际交往和协调能力，团队合作精神和客户服务意识；</w:t>
      </w:r>
    </w:p>
    <w:p>
      <w:pPr>
        <w:adjustRightInd w:val="0"/>
        <w:snapToGrid w:val="0"/>
        <w:spacing w:line="360" w:lineRule="auto"/>
        <w:ind w:firstLine="42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（3）具有健康的体魄，树立正确的人生观和价值观。</w:t>
      </w:r>
    </w:p>
    <w:p>
      <w:pPr>
        <w:pStyle w:val="10"/>
        <w:pageBreakBefore w:val="0"/>
        <w:widowControl w:val="0"/>
        <w:numPr>
          <w:ilvl w:val="0"/>
          <w:numId w:val="1"/>
        </w:numPr>
        <w:kinsoku/>
        <w:wordWrap/>
        <w:overflowPunct/>
        <w:topLinePunct w:val="0"/>
        <w:autoSpaceDE/>
        <w:autoSpaceDN/>
        <w:bidi w:val="0"/>
        <w:spacing w:line="460" w:lineRule="exact"/>
        <w:ind w:right="0" w:rightChars="0" w:firstLineChars="0"/>
        <w:textAlignment w:val="auto"/>
        <w:rPr>
          <w:rFonts w:cs="Times New Roman" w:asciiTheme="minorEastAsia" w:hAnsiTheme="minorEastAsia" w:eastAsiaTheme="minorEastAsia"/>
          <w:sz w:val="21"/>
          <w:szCs w:val="21"/>
        </w:rPr>
      </w:pPr>
      <w:bookmarkStart w:id="20" w:name="_Toc454441810"/>
      <w:r>
        <w:rPr>
          <w:rFonts w:cs="Times New Roman" w:asciiTheme="minorEastAsia" w:hAnsiTheme="minorEastAsia" w:eastAsiaTheme="minorEastAsia"/>
          <w:sz w:val="21"/>
          <w:szCs w:val="21"/>
        </w:rPr>
        <w:t>职业资格证书</w:t>
      </w:r>
      <w:bookmarkEnd w:id="20"/>
    </w:p>
    <w:p>
      <w:pPr>
        <w:pageBreakBefore w:val="0"/>
        <w:widowControl w:val="0"/>
        <w:kinsoku/>
        <w:wordWrap/>
        <w:overflowPunct/>
        <w:topLinePunct w:val="0"/>
        <w:autoSpaceDE/>
        <w:autoSpaceDN/>
        <w:bidi w:val="0"/>
        <w:spacing w:line="460" w:lineRule="exact"/>
        <w:ind w:right="0" w:rightChars="0" w:firstLine="420"/>
        <w:textAlignment w:val="auto"/>
        <w:rPr>
          <w:rFonts w:asciiTheme="minorEastAsia" w:hAnsiTheme="minorEastAsia" w:eastAsiaTheme="minorEastAsia"/>
          <w:sz w:val="21"/>
          <w:szCs w:val="21"/>
        </w:rPr>
      </w:pPr>
      <w:r>
        <w:rPr>
          <w:rFonts w:hint="eastAsia" w:asciiTheme="minorEastAsia" w:hAnsiTheme="minorEastAsia" w:eastAsiaTheme="minorEastAsia"/>
          <w:color w:val="000000"/>
          <w:sz w:val="21"/>
          <w:szCs w:val="21"/>
          <w:shd w:val="clear" w:color="auto" w:fill="FFFFFF"/>
        </w:rPr>
        <w:t>安全技术与管理（专科）专业规则的“特色课程”中提供了“安全工程师培训”课程，可以辅助学生取得本专业相关职业资格证书。</w:t>
      </w:r>
    </w:p>
    <w:p>
      <w:pPr>
        <w:pStyle w:val="2"/>
        <w:pageBreakBefore w:val="0"/>
        <w:widowControl w:val="0"/>
        <w:kinsoku/>
        <w:wordWrap/>
        <w:overflowPunct/>
        <w:topLinePunct w:val="0"/>
        <w:autoSpaceDE/>
        <w:autoSpaceDN/>
        <w:bidi w:val="0"/>
        <w:spacing w:before="326" w:after="326" w:line="460" w:lineRule="exact"/>
        <w:ind w:right="0" w:rightChars="0" w:firstLine="422"/>
        <w:textAlignment w:val="auto"/>
        <w:rPr>
          <w:rFonts w:asciiTheme="minorEastAsia" w:hAnsiTheme="minorEastAsia" w:eastAsiaTheme="minorEastAsia"/>
          <w:sz w:val="21"/>
          <w:szCs w:val="21"/>
        </w:rPr>
      </w:pPr>
      <w:bookmarkStart w:id="21" w:name="_Toc454441811"/>
      <w:r>
        <w:rPr>
          <w:rFonts w:hint="eastAsia" w:asciiTheme="minorEastAsia" w:hAnsiTheme="minorEastAsia" w:eastAsiaTheme="minorEastAsia"/>
          <w:sz w:val="21"/>
          <w:szCs w:val="21"/>
        </w:rPr>
        <w:t>（三）生源范围</w:t>
      </w:r>
      <w:bookmarkEnd w:id="19"/>
      <w:bookmarkEnd w:id="21"/>
    </w:p>
    <w:p>
      <w:pPr>
        <w:pageBreakBefore w:val="0"/>
        <w:widowControl w:val="0"/>
        <w:kinsoku/>
        <w:wordWrap/>
        <w:overflowPunct/>
        <w:topLinePunct w:val="0"/>
        <w:autoSpaceDE/>
        <w:autoSpaceDN/>
        <w:bidi w:val="0"/>
        <w:adjustRightInd w:val="0"/>
        <w:snapToGrid w:val="0"/>
        <w:spacing w:line="460" w:lineRule="exact"/>
        <w:ind w:right="0" w:rightChars="0" w:firstLine="420"/>
        <w:textAlignment w:val="auto"/>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rPr>
        <w:t>具有普高、职高、中专等中等学历教育的人员。</w:t>
      </w:r>
    </w:p>
    <w:p>
      <w:pPr>
        <w:pStyle w:val="2"/>
        <w:pageBreakBefore w:val="0"/>
        <w:widowControl w:val="0"/>
        <w:kinsoku/>
        <w:wordWrap/>
        <w:overflowPunct/>
        <w:topLinePunct w:val="0"/>
        <w:autoSpaceDE/>
        <w:autoSpaceDN/>
        <w:bidi w:val="0"/>
        <w:spacing w:before="326" w:after="326" w:line="460" w:lineRule="exact"/>
        <w:ind w:right="0" w:rightChars="0" w:firstLine="422"/>
        <w:textAlignment w:val="auto"/>
        <w:rPr>
          <w:rFonts w:asciiTheme="minorEastAsia" w:hAnsiTheme="minorEastAsia" w:eastAsiaTheme="minorEastAsia"/>
          <w:sz w:val="21"/>
          <w:szCs w:val="21"/>
        </w:rPr>
      </w:pPr>
      <w:bookmarkStart w:id="22" w:name="_Toc454441812"/>
      <w:r>
        <w:rPr>
          <w:rFonts w:hint="eastAsia" w:asciiTheme="minorEastAsia" w:hAnsiTheme="minorEastAsia" w:eastAsiaTheme="minorEastAsia"/>
          <w:sz w:val="21"/>
          <w:szCs w:val="21"/>
        </w:rPr>
        <w:t>（四）课程设置</w:t>
      </w:r>
      <w:bookmarkEnd w:id="22"/>
    </w:p>
    <w:p>
      <w:pPr>
        <w:pStyle w:val="10"/>
        <w:pageBreakBefore w:val="0"/>
        <w:widowControl w:val="0"/>
        <w:kinsoku/>
        <w:wordWrap/>
        <w:overflowPunct/>
        <w:topLinePunct w:val="0"/>
        <w:autoSpaceDE/>
        <w:autoSpaceDN/>
        <w:bidi w:val="0"/>
        <w:spacing w:line="460" w:lineRule="exact"/>
        <w:ind w:right="0" w:rightChars="0" w:firstLine="422"/>
        <w:textAlignment w:val="auto"/>
        <w:rPr>
          <w:rFonts w:asciiTheme="minorEastAsia" w:hAnsiTheme="minorEastAsia" w:eastAsiaTheme="minorEastAsia"/>
          <w:sz w:val="21"/>
          <w:szCs w:val="21"/>
        </w:rPr>
      </w:pPr>
      <w:bookmarkStart w:id="23" w:name="_Toc454441813"/>
      <w:r>
        <w:rPr>
          <w:rFonts w:cs="Times New Roman" w:asciiTheme="minorEastAsia" w:hAnsiTheme="minorEastAsia" w:eastAsiaTheme="minorEastAsia"/>
          <w:sz w:val="21"/>
          <w:szCs w:val="21"/>
        </w:rPr>
        <w:t>1.</w:t>
      </w:r>
      <w:r>
        <w:rPr>
          <w:rFonts w:hint="eastAsia" w:asciiTheme="minorEastAsia" w:hAnsiTheme="minorEastAsia" w:eastAsiaTheme="minorEastAsia"/>
          <w:sz w:val="21"/>
          <w:szCs w:val="21"/>
        </w:rPr>
        <w:t>课程体系设置原则</w:t>
      </w:r>
      <w:bookmarkEnd w:id="23"/>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（1）强调坚实的学科专业理论基础；</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（2）以就业能力为导向，优化的专业方向和课程群；</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（3）突出实践应用能力的培养和灵活的个性化发展。</w:t>
      </w:r>
    </w:p>
    <w:p>
      <w:pPr>
        <w:pStyle w:val="10"/>
        <w:pageBreakBefore w:val="0"/>
        <w:widowControl w:val="0"/>
        <w:kinsoku/>
        <w:wordWrap/>
        <w:overflowPunct/>
        <w:topLinePunct w:val="0"/>
        <w:autoSpaceDE/>
        <w:autoSpaceDN/>
        <w:bidi w:val="0"/>
        <w:spacing w:line="460" w:lineRule="exact"/>
        <w:ind w:right="0" w:rightChars="0" w:firstLine="422"/>
        <w:textAlignment w:val="auto"/>
        <w:rPr>
          <w:rFonts w:asciiTheme="minorEastAsia" w:hAnsiTheme="minorEastAsia" w:eastAsiaTheme="minorEastAsia"/>
          <w:sz w:val="21"/>
          <w:szCs w:val="21"/>
        </w:rPr>
      </w:pPr>
      <w:bookmarkStart w:id="24" w:name="_Toc454441814"/>
      <w:r>
        <w:rPr>
          <w:rFonts w:cs="Times New Roman" w:asciiTheme="minorEastAsia" w:hAnsiTheme="minorEastAsia" w:eastAsiaTheme="minorEastAsia"/>
          <w:sz w:val="21"/>
          <w:szCs w:val="21"/>
        </w:rPr>
        <w:t>2.</w:t>
      </w:r>
      <w:r>
        <w:rPr>
          <w:rFonts w:hint="eastAsia" w:asciiTheme="minorEastAsia" w:hAnsiTheme="minorEastAsia" w:eastAsiaTheme="minorEastAsia"/>
          <w:sz w:val="21"/>
          <w:szCs w:val="21"/>
        </w:rPr>
        <w:t>课程模块设置</w:t>
      </w:r>
      <w:bookmarkEnd w:id="24"/>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本专业共设置6个模块，分别是：公共基础课模块、专业基础课模块、专业课模块、通识课模块、综合实践模块、特色课模块。</w:t>
      </w:r>
    </w:p>
    <w:p>
      <w:pPr>
        <w:pageBreakBefore w:val="0"/>
        <w:widowControl w:val="0"/>
        <w:tabs>
          <w:tab w:val="left" w:pos="720"/>
        </w:tabs>
        <w:kinsoku/>
        <w:wordWrap/>
        <w:overflowPunct/>
        <w:topLinePunct w:val="0"/>
        <w:autoSpaceDE/>
        <w:autoSpaceDN/>
        <w:bidi w:val="0"/>
        <w:adjustRightInd w:val="0"/>
        <w:snapToGrid w:val="0"/>
        <w:spacing w:line="460" w:lineRule="exact"/>
        <w:ind w:right="0" w:rightChars="0" w:firstLine="422"/>
        <w:textAlignment w:val="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w:t>
      </w:r>
      <w:r>
        <w:rPr>
          <w:rFonts w:asciiTheme="minorEastAsia" w:hAnsiTheme="minorEastAsia" w:eastAsiaTheme="minorEastAsia"/>
          <w:b/>
          <w:color w:val="000000" w:themeColor="text1"/>
          <w:sz w:val="21"/>
          <w:szCs w:val="21"/>
        </w:rPr>
        <w:t>1）公共基础课</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该模块国家开放大学考试最低学分为9学分，模块设置最低学分为12学分。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该模块开设的主要课程有：《中国特色社会主义理论体系概论》、《国家开放大学学习指南》、《英语Ⅰ（1）》、《高等数学基础》、《计算机文化用基础》等。</w:t>
      </w:r>
    </w:p>
    <w:p>
      <w:pPr>
        <w:pageBreakBefore w:val="0"/>
        <w:widowControl w:val="0"/>
        <w:tabs>
          <w:tab w:val="left" w:pos="720"/>
        </w:tabs>
        <w:kinsoku/>
        <w:wordWrap/>
        <w:overflowPunct/>
        <w:topLinePunct w:val="0"/>
        <w:autoSpaceDE/>
        <w:autoSpaceDN/>
        <w:bidi w:val="0"/>
        <w:adjustRightInd w:val="0"/>
        <w:snapToGrid w:val="0"/>
        <w:spacing w:line="460" w:lineRule="exact"/>
        <w:ind w:right="0" w:rightChars="0" w:firstLine="422"/>
        <w:textAlignment w:val="auto"/>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（2）专业基础课</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该模块国家开放大学考试最低学分为14学分，模块设置最低学分为26学分。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的主要专业课程有：《安全管理》、《安全系统工程》、《安全原理》、《安全人机工程》、《工程制图基础》、《工业通风及除尘》、《流体力学与热工学基础》、《安全管理文书写作》、《信息管理系统》等课程。</w:t>
      </w:r>
    </w:p>
    <w:p>
      <w:pPr>
        <w:pageBreakBefore w:val="0"/>
        <w:widowControl w:val="0"/>
        <w:tabs>
          <w:tab w:val="left" w:pos="720"/>
        </w:tabs>
        <w:kinsoku/>
        <w:wordWrap/>
        <w:overflowPunct/>
        <w:topLinePunct w:val="0"/>
        <w:autoSpaceDE/>
        <w:autoSpaceDN/>
        <w:bidi w:val="0"/>
        <w:adjustRightInd w:val="0"/>
        <w:snapToGrid w:val="0"/>
        <w:spacing w:line="460" w:lineRule="exact"/>
        <w:ind w:right="0" w:rightChars="0" w:firstLine="422"/>
        <w:textAlignment w:val="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w:t>
      </w:r>
      <w:r>
        <w:rPr>
          <w:rFonts w:asciiTheme="minorEastAsia" w:hAnsiTheme="minorEastAsia" w:eastAsiaTheme="minorEastAsia"/>
          <w:b/>
          <w:color w:val="000000" w:themeColor="text1"/>
          <w:sz w:val="21"/>
          <w:szCs w:val="21"/>
        </w:rPr>
        <w:t>3）</w:t>
      </w:r>
      <w:r>
        <w:rPr>
          <w:rFonts w:hint="eastAsia" w:asciiTheme="minorEastAsia" w:hAnsiTheme="minorEastAsia" w:eastAsiaTheme="minorEastAsia"/>
          <w:b/>
          <w:color w:val="000000" w:themeColor="text1"/>
          <w:sz w:val="21"/>
          <w:szCs w:val="21"/>
        </w:rPr>
        <w:t>专业课</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该模块国家开放大学考试最低学分为13学分，模块设置最低学分为31学分。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的主要专业课程有：《特种设备安全》、《事故管理与应急处置》、《职业卫生基础》、《电气安全技术》、《安全评价》、《工程项目管理》、《防火防爆技术》、《安全监测与监控》、《安全法规》、《高危行业安全》等课程。</w:t>
      </w:r>
    </w:p>
    <w:p>
      <w:pPr>
        <w:pageBreakBefore w:val="0"/>
        <w:widowControl w:val="0"/>
        <w:kinsoku/>
        <w:wordWrap/>
        <w:overflowPunct/>
        <w:topLinePunct w:val="0"/>
        <w:autoSpaceDE/>
        <w:autoSpaceDN/>
        <w:bidi w:val="0"/>
        <w:spacing w:line="460" w:lineRule="exact"/>
        <w:ind w:right="0" w:rightChars="0" w:firstLine="422"/>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（4</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通</w:t>
      </w:r>
      <w:r>
        <w:rPr>
          <w:rFonts w:asciiTheme="minorEastAsia" w:hAnsiTheme="minorEastAsia" w:eastAsiaTheme="minorEastAsia"/>
          <w:b/>
          <w:sz w:val="21"/>
          <w:szCs w:val="21"/>
        </w:rPr>
        <w:t>识课</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该模块国家开放大学考试最低学分为0学分，模块设置最低学分为10学分。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该模块的主要专业课程有：《地域文化》、《社交礼仪》、《实用法律基础》、《实用写作》、《汉唐文化》等课程。</w:t>
      </w:r>
    </w:p>
    <w:p>
      <w:pPr>
        <w:pageBreakBefore w:val="0"/>
        <w:widowControl w:val="0"/>
        <w:tabs>
          <w:tab w:val="left" w:pos="720"/>
        </w:tabs>
        <w:kinsoku/>
        <w:wordWrap/>
        <w:overflowPunct/>
        <w:topLinePunct w:val="0"/>
        <w:autoSpaceDE/>
        <w:autoSpaceDN/>
        <w:bidi w:val="0"/>
        <w:adjustRightInd w:val="0"/>
        <w:snapToGrid w:val="0"/>
        <w:spacing w:line="460" w:lineRule="exact"/>
        <w:ind w:right="0" w:rightChars="0" w:firstLine="422"/>
        <w:textAlignment w:val="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w:t>
      </w:r>
      <w:r>
        <w:rPr>
          <w:rFonts w:asciiTheme="minorEastAsia" w:hAnsiTheme="minorEastAsia" w:eastAsiaTheme="minorEastAsia"/>
          <w:b/>
          <w:color w:val="000000" w:themeColor="text1"/>
          <w:sz w:val="21"/>
          <w:szCs w:val="21"/>
        </w:rPr>
        <w:t>5）综合实践</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该模块国家开放大学考试最低学分为0学分，模块设置最低学分为20学分。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学生均应参加专业规则中规定的必修综合实践（实训）环节。主要有：《毕业实践》、《工业通风除尘课程设计》、《防火防爆课程设计》、《安全评价课程设计》、《职业危害因素分析评价》。</w:t>
      </w:r>
    </w:p>
    <w:p>
      <w:pPr>
        <w:pageBreakBefore w:val="0"/>
        <w:widowControl w:val="0"/>
        <w:tabs>
          <w:tab w:val="left" w:pos="720"/>
        </w:tabs>
        <w:kinsoku/>
        <w:wordWrap/>
        <w:overflowPunct/>
        <w:topLinePunct w:val="0"/>
        <w:autoSpaceDE/>
        <w:autoSpaceDN/>
        <w:bidi w:val="0"/>
        <w:adjustRightInd w:val="0"/>
        <w:snapToGrid w:val="0"/>
        <w:spacing w:line="460" w:lineRule="exact"/>
        <w:ind w:right="0" w:rightChars="0" w:firstLine="422"/>
        <w:textAlignment w:val="auto"/>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（6</w:t>
      </w:r>
      <w:r>
        <w:rPr>
          <w:rFonts w:hint="eastAsia" w:asciiTheme="minorEastAsia" w:hAnsiTheme="minorEastAsia" w:eastAsiaTheme="minorEastAsia"/>
          <w:b/>
          <w:color w:val="000000" w:themeColor="text1"/>
          <w:sz w:val="21"/>
          <w:szCs w:val="21"/>
        </w:rPr>
        <w:t>）特色课</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该模块国家开放大学考试最低学分为0学分，模块设置最低学分为9学分。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特色课是“助力计划”专业特设的课程，国家开放大学西安分部根据专业发展及人才培养需求开设的课程，主要课程有：《消防安全》、《建筑施工安全》、《安全工程师培训课程》等。</w:t>
      </w:r>
    </w:p>
    <w:p>
      <w:pPr>
        <w:pStyle w:val="10"/>
        <w:pageBreakBefore w:val="0"/>
        <w:widowControl w:val="0"/>
        <w:kinsoku/>
        <w:wordWrap/>
        <w:overflowPunct/>
        <w:topLinePunct w:val="0"/>
        <w:autoSpaceDE/>
        <w:autoSpaceDN/>
        <w:bidi w:val="0"/>
        <w:spacing w:line="460" w:lineRule="exact"/>
        <w:ind w:right="0" w:rightChars="0" w:firstLine="422"/>
        <w:textAlignment w:val="auto"/>
        <w:rPr>
          <w:rFonts w:asciiTheme="minorEastAsia" w:hAnsiTheme="minorEastAsia" w:eastAsiaTheme="minorEastAsia"/>
          <w:sz w:val="21"/>
          <w:szCs w:val="21"/>
        </w:rPr>
      </w:pPr>
      <w:bookmarkStart w:id="25" w:name="_Toc454441815"/>
      <w:r>
        <w:rPr>
          <w:rFonts w:cs="Times New Roman" w:asciiTheme="minorEastAsia" w:hAnsiTheme="minorEastAsia" w:eastAsiaTheme="minorEastAsia"/>
          <w:sz w:val="21"/>
          <w:szCs w:val="21"/>
        </w:rPr>
        <w:t>3.</w:t>
      </w:r>
      <w:r>
        <w:rPr>
          <w:rFonts w:hint="eastAsia" w:asciiTheme="minorEastAsia" w:hAnsiTheme="minorEastAsia" w:eastAsiaTheme="minorEastAsia"/>
          <w:sz w:val="21"/>
          <w:szCs w:val="21"/>
        </w:rPr>
        <w:t>课程设置说明</w:t>
      </w:r>
      <w:bookmarkEnd w:id="25"/>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（1）统设必修课程严格执行“五个统一”，即统一课程名称、统一课程学分标准、统一教学大纲、统一教材、统一考试。</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（2）课程实践环节的成绩记入课程形成性考核成绩，没有完成课程实践环节不能取得课程学分。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（3）专业规则表中各课程的开设学期，是根据专业知识结构提供的课程先修、后续关系确定的，供学生选课时参考。</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rPr>
        <w:fldChar w:fldCharType="begin"/>
      </w:r>
      <w:r>
        <w:rPr>
          <w:rFonts w:hint="eastAsia" w:asciiTheme="minorEastAsia" w:hAnsiTheme="minorEastAsia" w:eastAsiaTheme="minorEastAsia"/>
          <w:sz w:val="21"/>
          <w:szCs w:val="21"/>
        </w:rPr>
        <w:instrText xml:space="preserve"> HYPERLINK "http://www.baidu.com/link?url=kPlawYE6ZLvIqAtyxd7oCR-fjrcNLod2K9E1qFLjXs8WU0weWXOMDAYhobNRJQy1" \t "_blank" </w:instrText>
      </w:r>
      <w:r>
        <w:rPr>
          <w:rFonts w:hint="eastAsia" w:asciiTheme="minorEastAsia" w:hAnsiTheme="minorEastAsia" w:eastAsiaTheme="minorEastAsia"/>
          <w:sz w:val="21"/>
          <w:szCs w:val="21"/>
        </w:rPr>
        <w:fldChar w:fldCharType="separate"/>
      </w:r>
      <w:r>
        <w:rPr>
          <w:rFonts w:hint="eastAsia" w:asciiTheme="minorEastAsia" w:hAnsiTheme="minorEastAsia" w:eastAsiaTheme="minorEastAsia"/>
          <w:sz w:val="21"/>
          <w:szCs w:val="21"/>
        </w:rPr>
        <w:t>以职业能力培养为核心构建专业课程体系</w:t>
      </w:r>
      <w:r>
        <w:rPr>
          <w:rFonts w:hint="eastAsia" w:asciiTheme="minorEastAsia" w:hAnsiTheme="minorEastAsia" w:eastAsiaTheme="minorEastAsia"/>
          <w:sz w:val="21"/>
          <w:szCs w:val="21"/>
        </w:rPr>
        <w:fldChar w:fldCharType="end"/>
      </w:r>
      <w:r>
        <w:rPr>
          <w:rFonts w:hint="eastAsia" w:asciiTheme="minorEastAsia" w:hAnsiTheme="minorEastAsia" w:eastAsiaTheme="minorEastAsia"/>
          <w:sz w:val="21"/>
          <w:szCs w:val="21"/>
        </w:rPr>
        <w:t>以课程体系建设为核心，围绕课程模块，建立起与模块对应的校企合作共建共享践实训体系，形成互惠互利的联动机制。</w:t>
      </w:r>
    </w:p>
    <w:p>
      <w:pPr>
        <w:pStyle w:val="10"/>
        <w:pageBreakBefore w:val="0"/>
        <w:widowControl w:val="0"/>
        <w:kinsoku/>
        <w:wordWrap/>
        <w:overflowPunct/>
        <w:topLinePunct w:val="0"/>
        <w:autoSpaceDE/>
        <w:autoSpaceDN/>
        <w:bidi w:val="0"/>
        <w:spacing w:after="120" w:line="460" w:lineRule="exact"/>
        <w:ind w:right="0" w:rightChars="0" w:firstLine="422"/>
        <w:textAlignment w:val="auto"/>
        <w:rPr>
          <w:rFonts w:cs="Times New Roman" w:asciiTheme="minorEastAsia" w:hAnsiTheme="minorEastAsia" w:eastAsiaTheme="minorEastAsia"/>
          <w:sz w:val="21"/>
          <w:szCs w:val="21"/>
        </w:rPr>
      </w:pPr>
      <w:bookmarkStart w:id="26" w:name="_Toc454441816"/>
      <w:r>
        <w:rPr>
          <w:rFonts w:cs="Times New Roman" w:asciiTheme="minorEastAsia" w:hAnsiTheme="minorEastAsia" w:eastAsiaTheme="minorEastAsia"/>
          <w:sz w:val="21"/>
          <w:szCs w:val="21"/>
        </w:rPr>
        <w:t>4.打造三级实验体系</w:t>
      </w:r>
      <w:bookmarkEnd w:id="26"/>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第1级：课内实验教学</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基本理论的验证性实验、基本实验技能训练和基础性研究方法训练。</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第2级：独立开设的课程实习</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以专业核心基础课和主干课程为主，强化基础性、设计性训练，实验内容具有一定综合性和难度。</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第3级：课程群综合性项目开发实训</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设置“以培养并训练学生综合运用课程群的系统知识、分析与解决实际问题能力”为目的的设计性、综合性和创新性的项目开发实训。</w:t>
      </w:r>
    </w:p>
    <w:p>
      <w:pPr>
        <w:pStyle w:val="10"/>
        <w:pageBreakBefore w:val="0"/>
        <w:widowControl w:val="0"/>
        <w:numPr>
          <w:ilvl w:val="0"/>
          <w:numId w:val="1"/>
        </w:numPr>
        <w:kinsoku/>
        <w:wordWrap/>
        <w:overflowPunct/>
        <w:topLinePunct w:val="0"/>
        <w:autoSpaceDE/>
        <w:autoSpaceDN/>
        <w:bidi w:val="0"/>
        <w:spacing w:line="460" w:lineRule="exact"/>
        <w:ind w:right="0" w:rightChars="0" w:firstLineChars="0"/>
        <w:textAlignment w:val="auto"/>
        <w:rPr>
          <w:rFonts w:cs="Times New Roman" w:asciiTheme="minorEastAsia" w:hAnsiTheme="minorEastAsia" w:eastAsiaTheme="minorEastAsia"/>
          <w:sz w:val="21"/>
          <w:szCs w:val="21"/>
        </w:rPr>
      </w:pPr>
      <w:bookmarkStart w:id="27" w:name="_Toc454441817"/>
      <w:r>
        <w:rPr>
          <w:rFonts w:cs="Times New Roman" w:asciiTheme="minorEastAsia" w:hAnsiTheme="minorEastAsia" w:eastAsiaTheme="minorEastAsia"/>
          <w:sz w:val="21"/>
          <w:szCs w:val="21"/>
        </w:rPr>
        <w:t>考核</w:t>
      </w:r>
      <w:bookmarkEnd w:id="27"/>
    </w:p>
    <w:p>
      <w:pPr>
        <w:pStyle w:val="5"/>
        <w:pageBreakBefore w:val="0"/>
        <w:widowControl w:val="0"/>
        <w:kinsoku/>
        <w:wordWrap/>
        <w:overflowPunct/>
        <w:topLinePunct w:val="0"/>
        <w:autoSpaceDE/>
        <w:autoSpaceDN/>
        <w:bidi w:val="0"/>
        <w:spacing w:line="460" w:lineRule="exact"/>
        <w:ind w:right="0" w:rightChars="0" w:firstLine="420"/>
        <w:textAlignment w:val="auto"/>
        <w:rPr>
          <w:rFonts w:cs="Times New Roman" w:asciiTheme="minorEastAsia" w:hAnsiTheme="minorEastAsia" w:eastAsiaTheme="minorEastAsia"/>
          <w:b/>
          <w:color w:val="000000" w:themeColor="text1"/>
          <w:sz w:val="21"/>
        </w:rPr>
      </w:pPr>
      <w:r>
        <w:rPr>
          <w:rFonts w:cs="Times New Roman" w:asciiTheme="minorEastAsia" w:hAnsiTheme="minorEastAsia" w:eastAsiaTheme="minorEastAsia"/>
          <w:color w:val="000000" w:themeColor="text1"/>
          <w:sz w:val="21"/>
        </w:rPr>
        <w:t>各门课程的成绩均由形成性考核与课程终结性考试两部分组成。形成性考核成绩由出勤率、平时作业两部分构成。</w:t>
      </w:r>
    </w:p>
    <w:p>
      <w:pPr>
        <w:pStyle w:val="10"/>
        <w:pageBreakBefore w:val="0"/>
        <w:widowControl w:val="0"/>
        <w:numPr>
          <w:ilvl w:val="0"/>
          <w:numId w:val="1"/>
        </w:numPr>
        <w:kinsoku/>
        <w:wordWrap/>
        <w:overflowPunct/>
        <w:topLinePunct w:val="0"/>
        <w:autoSpaceDE/>
        <w:autoSpaceDN/>
        <w:bidi w:val="0"/>
        <w:spacing w:line="460" w:lineRule="exact"/>
        <w:ind w:right="0" w:rightChars="0" w:firstLineChars="0"/>
        <w:textAlignment w:val="auto"/>
        <w:rPr>
          <w:rFonts w:cs="Times New Roman" w:asciiTheme="minorEastAsia" w:hAnsiTheme="minorEastAsia" w:eastAsiaTheme="minorEastAsia"/>
          <w:sz w:val="21"/>
          <w:szCs w:val="21"/>
        </w:rPr>
      </w:pPr>
      <w:bookmarkStart w:id="28" w:name="_Toc454441818"/>
      <w:r>
        <w:rPr>
          <w:rFonts w:cs="Times New Roman" w:asciiTheme="minorEastAsia" w:hAnsiTheme="minorEastAsia" w:eastAsiaTheme="minorEastAsia"/>
          <w:sz w:val="21"/>
          <w:szCs w:val="21"/>
        </w:rPr>
        <w:t>毕业规则</w:t>
      </w:r>
      <w:bookmarkEnd w:id="28"/>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本专业各模块毕业最低学分依次是：</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公共基础课：9学分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专业基础课：24学分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专业课：23分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通识课：2学分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综合实践课：14学分</w:t>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特色课：0学分</w:t>
      </w:r>
      <w:r>
        <w:rPr>
          <w:rFonts w:hint="eastAsia" w:asciiTheme="minorEastAsia" w:hAnsiTheme="minorEastAsia" w:eastAsiaTheme="minorEastAsia"/>
          <w:sz w:val="21"/>
          <w:szCs w:val="21"/>
        </w:rPr>
        <w:tab/>
      </w:r>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本专业最低毕业总学分为76学分。</w:t>
      </w:r>
    </w:p>
    <w:p>
      <w:pPr>
        <w:pStyle w:val="14"/>
        <w:pageBreakBefore w:val="0"/>
        <w:widowControl w:val="0"/>
        <w:kinsoku/>
        <w:wordWrap/>
        <w:overflowPunct/>
        <w:topLinePunct w:val="0"/>
        <w:autoSpaceDE/>
        <w:autoSpaceDN/>
        <w:bidi w:val="0"/>
        <w:spacing w:beforeLines="100" w:afterLines="100" w:line="460" w:lineRule="exact"/>
        <w:ind w:right="0" w:rightChars="0" w:firstLine="482"/>
        <w:textAlignment w:val="auto"/>
        <w:rPr>
          <w:rFonts w:asciiTheme="minorEastAsia" w:hAnsiTheme="minorEastAsia" w:eastAsiaTheme="minorEastAsia"/>
          <w:sz w:val="24"/>
          <w:szCs w:val="24"/>
        </w:rPr>
      </w:pPr>
      <w:bookmarkStart w:id="29" w:name="_Toc454441819"/>
      <w:r>
        <w:rPr>
          <w:rFonts w:hint="eastAsia" w:asciiTheme="minorEastAsia" w:hAnsiTheme="minorEastAsia" w:eastAsiaTheme="minorEastAsia"/>
          <w:sz w:val="24"/>
          <w:szCs w:val="24"/>
        </w:rPr>
        <w:t>四、专业建设思路</w:t>
      </w:r>
      <w:bookmarkEnd w:id="29"/>
    </w:p>
    <w:p>
      <w:pPr>
        <w:pStyle w:val="2"/>
        <w:pageBreakBefore w:val="0"/>
        <w:widowControl w:val="0"/>
        <w:kinsoku/>
        <w:wordWrap/>
        <w:overflowPunct/>
        <w:topLinePunct w:val="0"/>
        <w:autoSpaceDE/>
        <w:autoSpaceDN/>
        <w:bidi w:val="0"/>
        <w:spacing w:before="326" w:after="326" w:line="460" w:lineRule="exact"/>
        <w:ind w:right="0" w:rightChars="0" w:firstLine="422"/>
        <w:textAlignment w:val="auto"/>
        <w:rPr>
          <w:rFonts w:asciiTheme="minorEastAsia" w:hAnsiTheme="minorEastAsia" w:eastAsiaTheme="minorEastAsia"/>
          <w:sz w:val="21"/>
          <w:szCs w:val="21"/>
        </w:rPr>
      </w:pPr>
      <w:bookmarkStart w:id="30" w:name="_Toc454441820"/>
      <w:r>
        <w:rPr>
          <w:rFonts w:hint="eastAsia" w:asciiTheme="minorEastAsia" w:hAnsiTheme="minorEastAsia" w:eastAsiaTheme="minorEastAsia"/>
          <w:sz w:val="21"/>
          <w:szCs w:val="21"/>
        </w:rPr>
        <w:t>（一）公共基础课程</w:t>
      </w:r>
      <w:bookmarkEnd w:id="30"/>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共基础课程依托国家开放大学已有的教学资源，如《国家开放大学学习指南》、《中国特色社会主义理论体系概论》、《计算机文化基础》、《英语Ⅰ（1）》、《高等数学基础》等课程，采用国家开放大学的教材以及丰富的教学资源进行课程教学。</w:t>
      </w:r>
    </w:p>
    <w:p>
      <w:pPr>
        <w:pStyle w:val="2"/>
        <w:pageBreakBefore w:val="0"/>
        <w:widowControl w:val="0"/>
        <w:kinsoku/>
        <w:wordWrap/>
        <w:overflowPunct/>
        <w:topLinePunct w:val="0"/>
        <w:autoSpaceDE/>
        <w:autoSpaceDN/>
        <w:bidi w:val="0"/>
        <w:spacing w:before="326" w:after="326" w:line="460" w:lineRule="exact"/>
        <w:ind w:right="0" w:rightChars="0" w:firstLine="422"/>
        <w:textAlignment w:val="auto"/>
        <w:rPr>
          <w:rFonts w:asciiTheme="minorEastAsia" w:hAnsiTheme="minorEastAsia" w:eastAsiaTheme="minorEastAsia"/>
          <w:sz w:val="21"/>
          <w:szCs w:val="21"/>
        </w:rPr>
      </w:pPr>
      <w:bookmarkStart w:id="31" w:name="_Toc454441821"/>
      <w:r>
        <w:rPr>
          <w:rFonts w:hint="eastAsia" w:asciiTheme="minorEastAsia" w:hAnsiTheme="minorEastAsia" w:eastAsiaTheme="minorEastAsia"/>
          <w:sz w:val="21"/>
          <w:szCs w:val="21"/>
        </w:rPr>
        <w:t>（二）专业</w:t>
      </w:r>
      <w:r>
        <w:rPr>
          <w:rFonts w:asciiTheme="minorEastAsia" w:hAnsiTheme="minorEastAsia" w:eastAsiaTheme="minorEastAsia"/>
          <w:sz w:val="21"/>
          <w:szCs w:val="21"/>
        </w:rPr>
        <w:t>基础课和核心课</w:t>
      </w:r>
      <w:bookmarkEnd w:id="31"/>
    </w:p>
    <w:p>
      <w:pPr>
        <w:keepNext w:val="0"/>
        <w:keepLines w:val="0"/>
        <w:pageBreakBefore w:val="0"/>
        <w:widowControl w:val="0"/>
        <w:kinsoku/>
        <w:wordWrap/>
        <w:overflowPunct/>
        <w:topLinePunct w:val="0"/>
        <w:autoSpaceDE/>
        <w:autoSpaceDN/>
        <w:bidi w:val="0"/>
        <w:spacing w:line="460" w:lineRule="exact"/>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由于国家开放大学西安分部专业建设队伍的有限，不能全面建设专业基础课和核心课的教学资源，可以采取分步的方式进行：对于专业基础课程，引进西安建筑科技大学和西安科技大学等普通高校的课程教学资源，针对电大学生的实际情况，聘请高校的专家教授进行系统讲授资源的录制；专业核心课程，组建课程资源建设团队，和行业、高校人员共同进行资源开发。通过多种途径，促进系统教学和资源的共建共享。</w:t>
      </w:r>
    </w:p>
    <w:p>
      <w:pPr>
        <w:pStyle w:val="14"/>
        <w:pageBreakBefore w:val="0"/>
        <w:widowControl w:val="0"/>
        <w:tabs>
          <w:tab w:val="left" w:pos="2325"/>
        </w:tabs>
        <w:kinsoku/>
        <w:wordWrap/>
        <w:overflowPunct/>
        <w:topLinePunct w:val="0"/>
        <w:autoSpaceDE/>
        <w:autoSpaceDN/>
        <w:bidi w:val="0"/>
        <w:spacing w:beforeLines="100" w:afterLines="100" w:line="460" w:lineRule="exact"/>
        <w:ind w:right="0" w:rightChars="0" w:firstLine="482"/>
        <w:textAlignment w:val="auto"/>
        <w:rPr>
          <w:rFonts w:asciiTheme="minorEastAsia" w:hAnsiTheme="minorEastAsia" w:eastAsiaTheme="minorEastAsia"/>
          <w:sz w:val="24"/>
          <w:szCs w:val="24"/>
        </w:rPr>
      </w:pPr>
      <w:bookmarkStart w:id="32" w:name="_Toc454441822"/>
      <w:bookmarkStart w:id="33" w:name="_Toc310694659"/>
      <w:r>
        <w:rPr>
          <w:rFonts w:hint="eastAsia" w:asciiTheme="minorEastAsia" w:hAnsiTheme="minorEastAsia" w:eastAsiaTheme="minorEastAsia"/>
          <w:sz w:val="24"/>
          <w:szCs w:val="24"/>
        </w:rPr>
        <w:t>五、结论</w:t>
      </w:r>
      <w:bookmarkEnd w:id="32"/>
      <w:bookmarkEnd w:id="33"/>
      <w:r>
        <w:rPr>
          <w:rFonts w:asciiTheme="minorEastAsia" w:hAnsiTheme="minorEastAsia" w:eastAsiaTheme="minorEastAsia"/>
          <w:sz w:val="24"/>
          <w:szCs w:val="24"/>
        </w:rPr>
        <w:tab/>
      </w:r>
    </w:p>
    <w:p>
      <w:pPr>
        <w:pageBreakBefore w:val="0"/>
        <w:widowControl w:val="0"/>
        <w:kinsoku/>
        <w:wordWrap/>
        <w:overflowPunct/>
        <w:topLinePunct w:val="0"/>
        <w:autoSpaceDE/>
        <w:autoSpaceDN/>
        <w:bidi w:val="0"/>
        <w:spacing w:line="460" w:lineRule="exact"/>
        <w:ind w:right="0" w:rightChars="0" w:firstLine="420"/>
        <w:jc w:val="left"/>
        <w:textAlignment w:val="auto"/>
      </w:pPr>
      <w:r>
        <w:rPr>
          <w:rFonts w:hint="eastAsia" w:asciiTheme="minorEastAsia" w:hAnsiTheme="minorEastAsia" w:eastAsiaTheme="minorEastAsia"/>
          <w:sz w:val="21"/>
          <w:szCs w:val="21"/>
        </w:rPr>
        <w:t>综上所述，国家开放大学</w:t>
      </w:r>
      <w:r>
        <w:rPr>
          <w:rFonts w:asciiTheme="minorEastAsia" w:hAnsiTheme="minorEastAsia" w:eastAsiaTheme="minorEastAsia"/>
          <w:sz w:val="21"/>
          <w:szCs w:val="21"/>
        </w:rPr>
        <w:t>西安分部</w:t>
      </w:r>
      <w:r>
        <w:rPr>
          <w:rFonts w:hint="eastAsia" w:asciiTheme="minorEastAsia" w:hAnsiTheme="minorEastAsia" w:eastAsiaTheme="minorEastAsia"/>
          <w:sz w:val="21"/>
          <w:szCs w:val="21"/>
        </w:rPr>
        <w:t>开设安全技术与</w:t>
      </w:r>
      <w:r>
        <w:rPr>
          <w:rFonts w:asciiTheme="minorEastAsia" w:hAnsiTheme="minorEastAsia" w:eastAsiaTheme="minorEastAsia"/>
          <w:sz w:val="21"/>
          <w:szCs w:val="21"/>
        </w:rPr>
        <w:t>管理</w:t>
      </w:r>
      <w:r>
        <w:rPr>
          <w:rFonts w:hint="eastAsia" w:asciiTheme="minorEastAsia" w:hAnsiTheme="minorEastAsia" w:eastAsiaTheme="minorEastAsia"/>
          <w:sz w:val="21"/>
          <w:szCs w:val="21"/>
        </w:rPr>
        <w:t>专业的条件已经具备，时机已经成熟，建议于</w:t>
      </w:r>
      <w:r>
        <w:rPr>
          <w:rFonts w:asciiTheme="minorEastAsia" w:hAnsiTheme="minorEastAsia" w:eastAsiaTheme="minorEastAsia"/>
          <w:sz w:val="21"/>
          <w:szCs w:val="21"/>
        </w:rPr>
        <w:t>2016</w:t>
      </w:r>
      <w:r>
        <w:rPr>
          <w:rFonts w:hint="eastAsia" w:asciiTheme="minorEastAsia" w:hAnsiTheme="minorEastAsia" w:eastAsiaTheme="minorEastAsia"/>
          <w:sz w:val="21"/>
          <w:szCs w:val="21"/>
        </w:rPr>
        <w:t>年秋季开设此专业。</w:t>
      </w:r>
    </w:p>
    <w:p>
      <w:pPr>
        <w:widowControl/>
        <w:tabs>
          <w:tab w:val="center" w:pos="4592"/>
          <w:tab w:val="left" w:pos="7200"/>
        </w:tabs>
        <w:spacing w:afterLines="100"/>
        <w:ind w:firstLine="643"/>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国家开放大学专业设置申请表</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618"/>
        <w:gridCol w:w="1498"/>
        <w:gridCol w:w="1202"/>
        <w:gridCol w:w="205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271" w:type="dxa"/>
            <w:vAlign w:val="center"/>
          </w:tcPr>
          <w:p>
            <w:pPr>
              <w:spacing w:line="500" w:lineRule="exact"/>
              <w:ind w:left="0" w:leftChars="0" w:firstLine="0" w:firstLineChars="0"/>
              <w:jc w:val="both"/>
              <w:rPr>
                <w:rFonts w:cs="仿宋_GB2312" w:asciiTheme="minorEastAsia" w:hAnsiTheme="minorEastAsia" w:eastAsiaTheme="minorEastAsia"/>
                <w:b/>
                <w:color w:val="000000"/>
                <w:kern w:val="0"/>
              </w:rPr>
            </w:pPr>
            <w:r>
              <w:rPr>
                <w:rFonts w:hint="eastAsia" w:cs="仿宋_GB2312" w:asciiTheme="minorEastAsia" w:hAnsiTheme="minorEastAsia" w:eastAsiaTheme="minorEastAsia"/>
                <w:b/>
                <w:color w:val="000000"/>
                <w:kern w:val="0"/>
              </w:rPr>
              <w:t>申请单位</w:t>
            </w:r>
          </w:p>
        </w:tc>
        <w:tc>
          <w:tcPr>
            <w:tcW w:w="2618" w:type="dxa"/>
            <w:vAlign w:val="center"/>
          </w:tcPr>
          <w:p>
            <w:pPr>
              <w:spacing w:line="324" w:lineRule="auto"/>
              <w:ind w:left="0" w:leftChars="0" w:firstLine="0" w:firstLineChars="0"/>
              <w:jc w:val="both"/>
              <w:rPr>
                <w:rFonts w:asciiTheme="minorEastAsia" w:hAnsiTheme="minorEastAsia" w:eastAsiaTheme="minorEastAsia"/>
                <w:b/>
                <w:sz w:val="24"/>
                <w:szCs w:val="21"/>
              </w:rPr>
            </w:pPr>
            <w:r>
              <w:rPr>
                <w:rFonts w:hint="eastAsia" w:asciiTheme="minorEastAsia" w:hAnsiTheme="minorEastAsia" w:eastAsiaTheme="minorEastAsia"/>
                <w:sz w:val="24"/>
                <w:szCs w:val="21"/>
              </w:rPr>
              <w:t>国家开放大学西安分部</w:t>
            </w:r>
          </w:p>
        </w:tc>
        <w:tc>
          <w:tcPr>
            <w:tcW w:w="2700" w:type="dxa"/>
            <w:gridSpan w:val="2"/>
            <w:vAlign w:val="center"/>
          </w:tcPr>
          <w:p>
            <w:pPr>
              <w:spacing w:line="500" w:lineRule="exact"/>
              <w:ind w:firstLine="482"/>
              <w:jc w:val="both"/>
              <w:rPr>
                <w:rFonts w:cs="仿宋_GB2312" w:asciiTheme="minorEastAsia" w:hAnsiTheme="minorEastAsia" w:eastAsiaTheme="minorEastAsia"/>
                <w:b/>
                <w:color w:val="000000"/>
                <w:kern w:val="0"/>
              </w:rPr>
            </w:pPr>
            <w:r>
              <w:rPr>
                <w:rFonts w:hint="eastAsia" w:cs="仿宋_GB2312" w:asciiTheme="minorEastAsia" w:hAnsiTheme="minorEastAsia" w:eastAsiaTheme="minorEastAsia"/>
                <w:b/>
                <w:color w:val="000000"/>
                <w:kern w:val="0"/>
              </w:rPr>
              <w:t>专业名称</w:t>
            </w:r>
          </w:p>
        </w:tc>
        <w:tc>
          <w:tcPr>
            <w:tcW w:w="3050" w:type="dxa"/>
            <w:gridSpan w:val="2"/>
            <w:vAlign w:val="center"/>
          </w:tcPr>
          <w:p>
            <w:pPr>
              <w:spacing w:line="500" w:lineRule="exact"/>
              <w:ind w:firstLine="480"/>
              <w:jc w:val="both"/>
              <w:rPr>
                <w:rFonts w:asciiTheme="minorEastAsia" w:hAnsiTheme="minorEastAsia" w:eastAsiaTheme="minorEastAsia"/>
                <w:szCs w:val="21"/>
              </w:rPr>
            </w:pPr>
            <w:r>
              <w:rPr>
                <w:rFonts w:hint="eastAsia" w:asciiTheme="minorEastAsia" w:hAnsiTheme="minorEastAsia" w:eastAsiaTheme="minorEastAsia"/>
                <w:szCs w:val="21"/>
              </w:rPr>
              <w:t>安全技术与管理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1271" w:type="dxa"/>
            <w:vAlign w:val="center"/>
          </w:tcPr>
          <w:p>
            <w:pPr>
              <w:spacing w:line="500" w:lineRule="exact"/>
              <w:ind w:left="0" w:leftChars="0" w:firstLine="0" w:firstLineChars="0"/>
              <w:jc w:val="both"/>
              <w:rPr>
                <w:rFonts w:cs="仿宋_GB2312" w:asciiTheme="minorEastAsia" w:hAnsiTheme="minorEastAsia" w:eastAsiaTheme="minorEastAsia"/>
                <w:b/>
                <w:color w:val="000000"/>
                <w:kern w:val="0"/>
              </w:rPr>
            </w:pPr>
            <w:r>
              <w:rPr>
                <w:rFonts w:hint="eastAsia" w:cs="仿宋_GB2312" w:asciiTheme="minorEastAsia" w:hAnsiTheme="minorEastAsia" w:eastAsiaTheme="minorEastAsia"/>
                <w:b/>
                <w:color w:val="000000"/>
                <w:kern w:val="0"/>
              </w:rPr>
              <w:t>学科门类</w:t>
            </w:r>
          </w:p>
        </w:tc>
        <w:tc>
          <w:tcPr>
            <w:tcW w:w="2618" w:type="dxa"/>
            <w:vAlign w:val="center"/>
          </w:tcPr>
          <w:p>
            <w:pPr>
              <w:spacing w:line="324" w:lineRule="auto"/>
              <w:ind w:left="0" w:leftChars="0" w:firstLine="0" w:firstLineChars="0"/>
              <w:jc w:val="both"/>
              <w:rPr>
                <w:rFonts w:eastAsiaTheme="minorEastAsia"/>
                <w:sz w:val="24"/>
                <w:szCs w:val="21"/>
              </w:rPr>
            </w:pPr>
            <w:r>
              <w:rPr>
                <w:rFonts w:eastAsiaTheme="minorEastAsia"/>
                <w:sz w:val="24"/>
                <w:szCs w:val="21"/>
              </w:rPr>
              <w:t>资源环境与安全大类</w:t>
            </w:r>
          </w:p>
          <w:p>
            <w:pPr>
              <w:spacing w:line="324" w:lineRule="auto"/>
              <w:ind w:left="0" w:leftChars="0" w:firstLine="0" w:firstLineChars="0"/>
              <w:jc w:val="both"/>
              <w:rPr>
                <w:rFonts w:eastAsiaTheme="minorEastAsia"/>
                <w:sz w:val="24"/>
                <w:szCs w:val="24"/>
              </w:rPr>
            </w:pPr>
            <w:r>
              <w:rPr>
                <w:rFonts w:eastAsiaTheme="minorEastAsia"/>
                <w:sz w:val="24"/>
                <w:szCs w:val="21"/>
              </w:rPr>
              <w:t>安全类</w:t>
            </w:r>
          </w:p>
        </w:tc>
        <w:tc>
          <w:tcPr>
            <w:tcW w:w="1498" w:type="dxa"/>
            <w:vAlign w:val="center"/>
          </w:tcPr>
          <w:p>
            <w:pPr>
              <w:spacing w:line="500" w:lineRule="exact"/>
              <w:ind w:left="0" w:leftChars="0" w:firstLine="0" w:firstLineChars="0"/>
              <w:jc w:val="left"/>
              <w:rPr>
                <w:rFonts w:eastAsiaTheme="minorEastAsia"/>
                <w:b/>
              </w:rPr>
            </w:pPr>
            <w:r>
              <w:rPr>
                <w:rFonts w:eastAsiaTheme="minorEastAsia"/>
                <w:b/>
              </w:rPr>
              <w:t>专业代码</w:t>
            </w:r>
          </w:p>
        </w:tc>
        <w:tc>
          <w:tcPr>
            <w:tcW w:w="1202" w:type="dxa"/>
            <w:vAlign w:val="center"/>
          </w:tcPr>
          <w:p>
            <w:pPr>
              <w:spacing w:line="500" w:lineRule="exact"/>
              <w:ind w:left="0" w:leftChars="0" w:firstLine="0" w:firstLineChars="0"/>
              <w:jc w:val="both"/>
              <w:rPr>
                <w:rFonts w:eastAsiaTheme="minorEastAsia"/>
                <w:color w:val="000000"/>
                <w:kern w:val="0"/>
                <w:szCs w:val="21"/>
              </w:rPr>
            </w:pPr>
            <w:r>
              <w:rPr>
                <w:rFonts w:eastAsiaTheme="minorEastAsia"/>
                <w:color w:val="000000"/>
                <w:kern w:val="0"/>
                <w:szCs w:val="21"/>
              </w:rPr>
              <w:t>520904</w:t>
            </w:r>
          </w:p>
        </w:tc>
        <w:tc>
          <w:tcPr>
            <w:tcW w:w="2058" w:type="dxa"/>
            <w:vAlign w:val="center"/>
          </w:tcPr>
          <w:p>
            <w:pPr>
              <w:spacing w:line="500" w:lineRule="exact"/>
              <w:ind w:left="0" w:leftChars="0" w:firstLine="0" w:firstLineChars="0"/>
              <w:jc w:val="both"/>
              <w:rPr>
                <w:rFonts w:eastAsiaTheme="minorEastAsia"/>
                <w:color w:val="000000"/>
                <w:kern w:val="0"/>
              </w:rPr>
            </w:pPr>
            <w:r>
              <w:rPr>
                <w:rFonts w:eastAsiaTheme="minorEastAsia"/>
                <w:b/>
              </w:rPr>
              <w:t>专业层次</w:t>
            </w:r>
          </w:p>
        </w:tc>
        <w:tc>
          <w:tcPr>
            <w:tcW w:w="992" w:type="dxa"/>
            <w:vAlign w:val="center"/>
          </w:tcPr>
          <w:p>
            <w:pPr>
              <w:spacing w:line="500" w:lineRule="exact"/>
              <w:ind w:left="0" w:leftChars="0" w:firstLine="0" w:firstLineChars="0"/>
              <w:jc w:val="both"/>
              <w:rPr>
                <w:rFonts w:eastAsiaTheme="minorEastAsia"/>
                <w:szCs w:val="21"/>
              </w:rPr>
            </w:pPr>
            <w:r>
              <w:rPr>
                <w:rFonts w:eastAsiaTheme="minorEastAsia"/>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71" w:type="dxa"/>
            <w:vAlign w:val="center"/>
          </w:tcPr>
          <w:p>
            <w:pPr>
              <w:spacing w:line="500" w:lineRule="exact"/>
              <w:ind w:left="0" w:leftChars="0" w:firstLine="0" w:firstLineChars="0"/>
              <w:jc w:val="both"/>
              <w:rPr>
                <w:rFonts w:cs="仿宋_GB2312" w:asciiTheme="minorEastAsia" w:hAnsiTheme="minorEastAsia" w:eastAsiaTheme="minorEastAsia"/>
                <w:b/>
                <w:color w:val="000000"/>
                <w:kern w:val="0"/>
              </w:rPr>
            </w:pPr>
            <w:r>
              <w:rPr>
                <w:rFonts w:hint="eastAsia" w:cs="仿宋_GB2312" w:asciiTheme="minorEastAsia" w:hAnsiTheme="minorEastAsia" w:eastAsiaTheme="minorEastAsia"/>
                <w:b/>
                <w:color w:val="000000"/>
                <w:kern w:val="0"/>
              </w:rPr>
              <w:t>学制</w:t>
            </w:r>
          </w:p>
        </w:tc>
        <w:tc>
          <w:tcPr>
            <w:tcW w:w="2618" w:type="dxa"/>
            <w:vAlign w:val="center"/>
          </w:tcPr>
          <w:p>
            <w:pPr>
              <w:spacing w:line="324" w:lineRule="auto"/>
              <w:ind w:left="0" w:leftChars="0" w:firstLine="0" w:firstLineChars="0"/>
              <w:jc w:val="both"/>
              <w:rPr>
                <w:rFonts w:eastAsiaTheme="minorEastAsia"/>
                <w:sz w:val="24"/>
                <w:szCs w:val="21"/>
              </w:rPr>
            </w:pPr>
            <w:r>
              <w:rPr>
                <w:rFonts w:hint="eastAsia" w:eastAsiaTheme="minorEastAsia"/>
                <w:sz w:val="24"/>
                <w:szCs w:val="21"/>
              </w:rPr>
              <w:t>2</w:t>
            </w:r>
            <w:r>
              <w:rPr>
                <w:rFonts w:eastAsiaTheme="minorEastAsia"/>
                <w:sz w:val="24"/>
                <w:szCs w:val="21"/>
              </w:rPr>
              <w:t>年</w:t>
            </w:r>
          </w:p>
        </w:tc>
        <w:tc>
          <w:tcPr>
            <w:tcW w:w="1498" w:type="dxa"/>
            <w:vAlign w:val="center"/>
          </w:tcPr>
          <w:p>
            <w:pPr>
              <w:spacing w:line="500" w:lineRule="exact"/>
              <w:ind w:left="0" w:leftChars="0" w:firstLine="0" w:firstLineChars="0"/>
              <w:jc w:val="left"/>
              <w:rPr>
                <w:rFonts w:eastAsiaTheme="minorEastAsia"/>
              </w:rPr>
            </w:pPr>
            <w:r>
              <w:rPr>
                <w:rFonts w:eastAsiaTheme="minorEastAsia"/>
                <w:b/>
              </w:rPr>
              <w:t>拟开出时间</w:t>
            </w:r>
          </w:p>
        </w:tc>
        <w:tc>
          <w:tcPr>
            <w:tcW w:w="1202" w:type="dxa"/>
            <w:vAlign w:val="center"/>
          </w:tcPr>
          <w:p>
            <w:pPr>
              <w:spacing w:line="500" w:lineRule="exact"/>
              <w:ind w:left="0" w:leftChars="0" w:firstLine="0" w:firstLineChars="0"/>
              <w:jc w:val="both"/>
              <w:rPr>
                <w:rFonts w:eastAsiaTheme="minorEastAsia"/>
                <w:szCs w:val="21"/>
              </w:rPr>
            </w:pPr>
            <w:r>
              <w:rPr>
                <w:rFonts w:eastAsiaTheme="minorEastAsia"/>
                <w:szCs w:val="21"/>
              </w:rPr>
              <w:t>2016.9</w:t>
            </w:r>
          </w:p>
        </w:tc>
        <w:tc>
          <w:tcPr>
            <w:tcW w:w="2058" w:type="dxa"/>
            <w:vAlign w:val="center"/>
          </w:tcPr>
          <w:p>
            <w:pPr>
              <w:spacing w:line="500" w:lineRule="exact"/>
              <w:ind w:left="0" w:leftChars="0" w:firstLine="0" w:firstLineChars="0"/>
              <w:jc w:val="both"/>
              <w:rPr>
                <w:rFonts w:eastAsiaTheme="minorEastAsia"/>
              </w:rPr>
            </w:pPr>
            <w:r>
              <w:rPr>
                <w:rFonts w:eastAsiaTheme="minorEastAsia"/>
                <w:b/>
              </w:rPr>
              <w:t>启动调研论证时间</w:t>
            </w:r>
          </w:p>
        </w:tc>
        <w:tc>
          <w:tcPr>
            <w:tcW w:w="992" w:type="dxa"/>
            <w:vAlign w:val="center"/>
          </w:tcPr>
          <w:p>
            <w:pPr>
              <w:spacing w:line="500" w:lineRule="exact"/>
              <w:ind w:left="0" w:leftChars="0" w:firstLine="0" w:firstLineChars="0"/>
              <w:jc w:val="both"/>
              <w:rPr>
                <w:rFonts w:eastAsiaTheme="minorEastAsia"/>
                <w:szCs w:val="21"/>
              </w:rPr>
            </w:pPr>
            <w:r>
              <w:rPr>
                <w:rFonts w:eastAsiaTheme="minorEastAsia"/>
                <w:szCs w:val="21"/>
              </w:rPr>
              <w:t>2015.4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639" w:type="dxa"/>
            <w:gridSpan w:val="6"/>
            <w:vAlign w:val="center"/>
          </w:tcPr>
          <w:p>
            <w:pPr>
              <w:spacing w:line="500" w:lineRule="exact"/>
              <w:ind w:firstLine="482"/>
              <w:jc w:val="center"/>
              <w:rPr>
                <w:rFonts w:asciiTheme="minorEastAsia" w:hAnsiTheme="minorEastAsia" w:eastAsiaTheme="minorEastAsia"/>
              </w:rPr>
            </w:pPr>
            <w:r>
              <w:rPr>
                <w:rFonts w:hint="eastAsia" w:eastAsiaTheme="minorEastAsia"/>
                <w:b/>
              </w:rPr>
              <w:t>有无与非学历教育沟通的计划</w:t>
            </w:r>
            <w:r>
              <w:rPr>
                <w:rFonts w:hint="eastAsia" w:asciiTheme="minorEastAsia" w:hAnsiTheme="minorEastAsia" w:eastAsiaTheme="minorEastAsia"/>
              </w:rPr>
              <w:t>有（</w:t>
            </w:r>
            <w:r>
              <w:rPr>
                <w:rFonts w:cs="Arial" w:asciiTheme="minorEastAsia" w:hAnsiTheme="minorEastAsia" w:eastAsiaTheme="minorEastAsia"/>
                <w:color w:val="333333"/>
                <w:shd w:val="clear" w:color="auto" w:fill="FFFFFF"/>
              </w:rPr>
              <w:t>√</w:t>
            </w: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9639" w:type="dxa"/>
            <w:gridSpan w:val="6"/>
            <w:vAlign w:val="center"/>
          </w:tcPr>
          <w:p>
            <w:pPr>
              <w:spacing w:beforeLines="50" w:line="360" w:lineRule="exact"/>
              <w:ind w:firstLine="482"/>
              <w:rPr>
                <w:b/>
              </w:rPr>
            </w:pPr>
            <w:r>
              <w:rPr>
                <w:rFonts w:hint="eastAsia"/>
                <w:b/>
              </w:rPr>
              <w:t>一、深入市场调研，定位专业培养目标</w:t>
            </w:r>
          </w:p>
          <w:p>
            <w:pPr>
              <w:spacing w:line="360" w:lineRule="exact"/>
              <w:ind w:firstLine="480"/>
              <w:rPr>
                <w:szCs w:val="21"/>
              </w:rPr>
            </w:pPr>
            <w:r>
              <w:rPr>
                <w:rFonts w:hint="eastAsia"/>
                <w:szCs w:val="21"/>
              </w:rPr>
              <w:t>为落实国家开放大学转型发展要求，推进国家开放大学建设和广播电视大学系统转型，积极探索体现终身教育理念和开放大学特色的“新型产业工人人才培养模式和质量保证机制”，进一步在西安市场上开拓新的办学局面，扩大行业企业合作，更加契合社会与企业人才需求。近几年来，国家开放大学西安分部主动走出去调研市场人才需求，多方面主动洽谈行业企业合作项目，积极依托国家开放大学相关办学项目改革，深入企业和行业多个领域，进行相关人才需求调查和合作开设专业的洽谈。以参与国家开放大学的试点项目</w:t>
            </w:r>
            <w:r>
              <w:rPr>
                <w:szCs w:val="21"/>
              </w:rPr>
              <w:t>为契机</w:t>
            </w:r>
            <w:r>
              <w:rPr>
                <w:rFonts w:hint="eastAsia"/>
                <w:szCs w:val="21"/>
              </w:rPr>
              <w:t>，与西安市相关局委、行业协会的人员素质提升任务相结合，服务地方发展，拓展服务领域。经过与西安市安监局多次洽谈，了解到目前西安市许多中小型企业和单位对于安全方面的重视度不断提升，安全技术与管理从业人员的数量不足，专业性有待进一步加强等。随着安全科学技术和管理科学的快速发展，加之系统安全工程原理和方法的出现，安全技术与管理的内容、方法和原理都有了很大的拓展空间。对此，西安市安监局有意进行安全方面的专业人才队伍素质提升计划，在充分了解国家开放大学西安分部多年办学实力的基础上，双方达成共识。本着立足西安、服务西安经济社会的发展为宗旨，突出办学特色和人才培养目标，在深入了解西安市安全方面的人才需求及专业发展的前景下，国家开放大学西安分部申请开设《安全技术与管理》（专科）专业，为西安市各行业提供具</w:t>
            </w:r>
            <w:r>
              <w:rPr>
                <w:szCs w:val="21"/>
              </w:rPr>
              <w:t>有一定</w:t>
            </w:r>
            <w:r>
              <w:rPr>
                <w:rFonts w:hint="eastAsia"/>
                <w:szCs w:val="21"/>
              </w:rPr>
              <w:t>安全知识及</w:t>
            </w:r>
            <w:r>
              <w:rPr>
                <w:szCs w:val="21"/>
              </w:rPr>
              <w:t>技能</w:t>
            </w:r>
            <w:r>
              <w:rPr>
                <w:rFonts w:hint="eastAsia"/>
                <w:szCs w:val="21"/>
              </w:rPr>
              <w:t>的</w:t>
            </w:r>
            <w:r>
              <w:rPr>
                <w:szCs w:val="21"/>
              </w:rPr>
              <w:t>管理型</w:t>
            </w:r>
            <w:r>
              <w:rPr>
                <w:rFonts w:hint="eastAsia"/>
                <w:szCs w:val="21"/>
              </w:rPr>
              <w:t>人才。</w:t>
            </w:r>
          </w:p>
          <w:p>
            <w:pPr>
              <w:spacing w:line="360" w:lineRule="exact"/>
              <w:ind w:firstLine="480"/>
              <w:rPr>
                <w:szCs w:val="21"/>
              </w:rPr>
            </w:pPr>
            <w:r>
              <w:rPr>
                <w:szCs w:val="21"/>
              </w:rPr>
              <w:t>2015</w:t>
            </w:r>
            <w:r>
              <w:rPr>
                <w:rFonts w:hint="eastAsia"/>
                <w:szCs w:val="21"/>
              </w:rPr>
              <w:t>年</w:t>
            </w:r>
            <w:r>
              <w:rPr>
                <w:szCs w:val="21"/>
              </w:rPr>
              <w:t>4</w:t>
            </w:r>
            <w:r>
              <w:rPr>
                <w:rFonts w:hint="eastAsia"/>
                <w:szCs w:val="21"/>
              </w:rPr>
              <w:t>月，国家开放大学西安分部组建了《安全技术与管理》（专科）专业调研团队，深入西安市各行业（如西安市各区县、开发区的安全技术监督管理主管部门、各企事业安全技术管理监督管理部门及西安市消防总队等），针对当前安全专业人才的社会需求（包括总体需求和行业需求）展开了深度调研。了解到当前西安市许多单位和行业，人员队伍缺乏安全意识和专业知识，工作</w:t>
            </w:r>
            <w:r>
              <w:rPr>
                <w:szCs w:val="21"/>
              </w:rPr>
              <w:t>环境</w:t>
            </w:r>
            <w:r>
              <w:rPr>
                <w:rFonts w:hint="eastAsia"/>
                <w:szCs w:val="21"/>
              </w:rPr>
              <w:t>存在许多安全隐患，并随着国家《安全生产法》的深入实施，为提高西安市安全技术管理人才队伍整体素质和业务能力，提升安全技术管理人员学历水平，开展安全技术管理人才素质提升计划，为安全生产提供专业的人才支撑，成为西安市人才发展规划的一项重要内容。目前，</w:t>
            </w:r>
            <w:r>
              <w:rPr>
                <w:rFonts w:hint="eastAsia"/>
                <w:color w:val="000000"/>
                <w:szCs w:val="21"/>
              </w:rPr>
              <w:t>西安当地仅有极少数的本专科院校开设此类专业，每年毕业学生数量也非常少，西安市的各级政府机关和企业很难招到安全技术管理类人才。为更好地服务西安地区社会经济发展，更好地满足这一市场需求，</w:t>
            </w:r>
            <w:r>
              <w:rPr>
                <w:rFonts w:hint="eastAsia"/>
                <w:szCs w:val="21"/>
              </w:rPr>
              <w:t>国家开放大学西安分部</w:t>
            </w:r>
            <w:r>
              <w:rPr>
                <w:rFonts w:hint="eastAsia"/>
                <w:color w:val="000000"/>
                <w:szCs w:val="21"/>
              </w:rPr>
              <w:t>经多方调研和努力，</w:t>
            </w:r>
            <w:r>
              <w:rPr>
                <w:rFonts w:hint="eastAsia"/>
                <w:szCs w:val="21"/>
              </w:rPr>
              <w:t>启动该专业申请的相关工作。</w:t>
            </w:r>
          </w:p>
          <w:p>
            <w:pPr>
              <w:spacing w:line="360" w:lineRule="exact"/>
              <w:ind w:firstLine="480"/>
              <w:rPr>
                <w:color w:val="000000"/>
                <w:szCs w:val="21"/>
              </w:rPr>
            </w:pPr>
            <w:r>
              <w:rPr>
                <w:szCs w:val="21"/>
              </w:rPr>
              <w:t>2015</w:t>
            </w:r>
            <w:r>
              <w:rPr>
                <w:rFonts w:hint="eastAsia"/>
                <w:szCs w:val="21"/>
              </w:rPr>
              <w:t>年</w:t>
            </w:r>
            <w:r>
              <w:rPr>
                <w:szCs w:val="21"/>
              </w:rPr>
              <w:t>5</w:t>
            </w:r>
            <w:r>
              <w:rPr>
                <w:rFonts w:hint="eastAsia"/>
                <w:szCs w:val="21"/>
              </w:rPr>
              <w:t>月</w:t>
            </w:r>
            <w:r>
              <w:rPr>
                <w:szCs w:val="21"/>
              </w:rPr>
              <w:t>16</w:t>
            </w:r>
            <w:r>
              <w:rPr>
                <w:rFonts w:hint="eastAsia"/>
                <w:color w:val="000000"/>
                <w:szCs w:val="21"/>
              </w:rPr>
              <w:t>日，国家开放大学西安分部</w:t>
            </w:r>
            <w:r>
              <w:rPr>
                <w:rFonts w:hint="eastAsia"/>
                <w:szCs w:val="21"/>
              </w:rPr>
              <w:t>根据前期专业调研情况，依据教育部《普通高等学校高等职业教育（专科）专业设置管理办法</w:t>
            </w:r>
            <w:r>
              <w:rPr>
                <w:rFonts w:hint="eastAsia"/>
                <w:color w:val="000000"/>
                <w:szCs w:val="21"/>
              </w:rPr>
              <w:t>》和《普通高等学校高等职业教育（专科）专业目录（</w:t>
            </w:r>
            <w:r>
              <w:rPr>
                <w:color w:val="000000"/>
                <w:szCs w:val="21"/>
              </w:rPr>
              <w:t>2015</w:t>
            </w:r>
            <w:r>
              <w:rPr>
                <w:rFonts w:hint="eastAsia"/>
                <w:color w:val="000000"/>
                <w:szCs w:val="21"/>
              </w:rPr>
              <w:t>年）》，确定拟建设的专业</w:t>
            </w:r>
            <w:r>
              <w:rPr>
                <w:rFonts w:hint="eastAsia"/>
                <w:szCs w:val="21"/>
              </w:rPr>
              <w:t>名称为《</w:t>
            </w:r>
            <w:r>
              <w:rPr>
                <w:rFonts w:hint="eastAsia"/>
                <w:color w:val="000000"/>
                <w:szCs w:val="21"/>
              </w:rPr>
              <w:t>安全技术与管理》（专科）（属于</w:t>
            </w:r>
            <w:r>
              <w:rPr>
                <w:rFonts w:hint="eastAsia"/>
                <w:szCs w:val="21"/>
              </w:rPr>
              <w:t>资源环境与安全大类下的安全类）</w:t>
            </w:r>
            <w:r>
              <w:rPr>
                <w:rFonts w:hint="eastAsia"/>
                <w:color w:val="000000"/>
                <w:szCs w:val="21"/>
              </w:rPr>
              <w:t>，同时组织相关人员撰写了《安全类安全技术与管理》（专科）专业可行性论证报告。</w:t>
            </w:r>
          </w:p>
          <w:p>
            <w:pPr>
              <w:tabs>
                <w:tab w:val="left" w:pos="1440"/>
              </w:tabs>
              <w:adjustRightInd w:val="0"/>
              <w:snapToGrid w:val="0"/>
              <w:spacing w:line="360" w:lineRule="exact"/>
              <w:ind w:firstLine="361" w:firstLineChars="150"/>
              <w:rPr>
                <w:b/>
              </w:rPr>
            </w:pPr>
            <w:r>
              <w:rPr>
                <w:rFonts w:hint="eastAsia"/>
                <w:b/>
              </w:rPr>
              <w:t>二、立足行业需求，制定专业规则</w:t>
            </w:r>
          </w:p>
          <w:p>
            <w:pPr>
              <w:tabs>
                <w:tab w:val="left" w:pos="1440"/>
              </w:tabs>
              <w:adjustRightInd w:val="0"/>
              <w:snapToGrid w:val="0"/>
              <w:spacing w:line="360" w:lineRule="exact"/>
              <w:ind w:firstLine="480"/>
              <w:rPr>
                <w:szCs w:val="21"/>
              </w:rPr>
            </w:pPr>
            <w:r>
              <w:rPr>
                <w:szCs w:val="21"/>
              </w:rPr>
              <w:t>2015</w:t>
            </w:r>
            <w:r>
              <w:rPr>
                <w:rFonts w:hint="eastAsia"/>
                <w:szCs w:val="21"/>
              </w:rPr>
              <w:t>年</w:t>
            </w:r>
            <w:r>
              <w:rPr>
                <w:szCs w:val="21"/>
              </w:rPr>
              <w:t>5</w:t>
            </w:r>
            <w:r>
              <w:rPr>
                <w:rFonts w:hint="eastAsia"/>
                <w:szCs w:val="21"/>
              </w:rPr>
              <w:t>月，西安市安监局与国家开放大学西安分部联合就《安全技术与管理》（专科</w:t>
            </w:r>
            <w:r>
              <w:rPr>
                <w:szCs w:val="21"/>
              </w:rPr>
              <w:t>）</w:t>
            </w:r>
            <w:r>
              <w:rPr>
                <w:rFonts w:hint="eastAsia"/>
                <w:szCs w:val="21"/>
              </w:rPr>
              <w:t>专业进行了专业开设需求、专业建设等工作研讨，经充分研讨，决定启动开设《安全技术与管理》</w:t>
            </w:r>
            <w:r>
              <w:rPr>
                <w:szCs w:val="21"/>
              </w:rPr>
              <w:t>（</w:t>
            </w:r>
            <w:r>
              <w:rPr>
                <w:rFonts w:hint="eastAsia"/>
                <w:szCs w:val="21"/>
              </w:rPr>
              <w:t>专科）专业，同时，西安市安监局下发了《西安市</w:t>
            </w:r>
            <w:r>
              <w:rPr>
                <w:szCs w:val="21"/>
              </w:rPr>
              <w:t>安全生产监督管理局关于开展全市安全生产管理人才素质提升计划的通知</w:t>
            </w:r>
            <w:r>
              <w:rPr>
                <w:rFonts w:hint="eastAsia"/>
                <w:szCs w:val="21"/>
              </w:rPr>
              <w:t>》文件，明确了西安市安监局下属的各安全技术监督管理单位对于该专业的迫切需求并明确了培养范围。国家开放大学西安分部作为专业承建方，进行专业建设和招生工作，立足西安市行业的人才需求，合理制定《安全技术与管理》（</w:t>
            </w:r>
            <w:r>
              <w:rPr>
                <w:szCs w:val="21"/>
              </w:rPr>
              <w:t>专科）</w:t>
            </w:r>
            <w:r>
              <w:rPr>
                <w:rFonts w:hint="eastAsia"/>
                <w:szCs w:val="21"/>
              </w:rPr>
              <w:t>专业的教学计划。</w:t>
            </w:r>
          </w:p>
          <w:p>
            <w:pPr>
              <w:tabs>
                <w:tab w:val="left" w:pos="1440"/>
              </w:tabs>
              <w:adjustRightInd w:val="0"/>
              <w:snapToGrid w:val="0"/>
              <w:spacing w:line="360" w:lineRule="exact"/>
              <w:ind w:firstLine="480"/>
              <w:rPr>
                <w:szCs w:val="21"/>
              </w:rPr>
            </w:pPr>
            <w:r>
              <w:rPr>
                <w:szCs w:val="21"/>
              </w:rPr>
              <w:t>2015</w:t>
            </w:r>
            <w:r>
              <w:rPr>
                <w:rFonts w:hint="eastAsia"/>
                <w:szCs w:val="21"/>
              </w:rPr>
              <w:t>年</w:t>
            </w:r>
            <w:r>
              <w:rPr>
                <w:szCs w:val="21"/>
              </w:rPr>
              <w:t>9</w:t>
            </w:r>
            <w:r>
              <w:rPr>
                <w:rFonts w:hint="eastAsia"/>
                <w:szCs w:val="21"/>
              </w:rPr>
              <w:t>月，结合国家开放大学助力计划专业相关规范要求，国家开放大学西安分部成立了专业建设团队。团队由校部专职教师和西安建筑科技大学、西安科技大学的学科专家组成，共同进行专业建设工作。结合西安市区域特色、专业学生的生源状况，共召开七次专题研讨会议，注重开设具有安全专业基础知识并且适用性强的课程。在此基础上，团队对《安全技术与管理》（专科）专业的可行性分析、专业规则说明、课程设置、教学实施方案等进行了重点研讨和论证，形成比较完善的专业教学材料。</w:t>
            </w:r>
          </w:p>
          <w:p>
            <w:pPr>
              <w:tabs>
                <w:tab w:val="left" w:pos="1440"/>
              </w:tabs>
              <w:adjustRightInd w:val="0"/>
              <w:snapToGrid w:val="0"/>
              <w:spacing w:line="360" w:lineRule="exact"/>
              <w:ind w:firstLine="480"/>
              <w:rPr>
                <w:szCs w:val="21"/>
              </w:rPr>
            </w:pPr>
            <w:r>
              <w:rPr>
                <w:szCs w:val="21"/>
              </w:rPr>
              <w:t>2015</w:t>
            </w:r>
            <w:r>
              <w:rPr>
                <w:rFonts w:hint="eastAsia"/>
                <w:szCs w:val="21"/>
              </w:rPr>
              <w:t>年</w:t>
            </w:r>
            <w:r>
              <w:rPr>
                <w:szCs w:val="21"/>
              </w:rPr>
              <w:t>10</w:t>
            </w:r>
            <w:r>
              <w:rPr>
                <w:rFonts w:hint="eastAsia"/>
                <w:szCs w:val="21"/>
              </w:rPr>
              <w:t>月，国家开放大学西安分部向西安市安监局提交了《安全技术与管理》（</w:t>
            </w:r>
            <w:r>
              <w:rPr>
                <w:szCs w:val="21"/>
              </w:rPr>
              <w:t>专科）</w:t>
            </w:r>
            <w:r>
              <w:rPr>
                <w:rFonts w:hint="eastAsia"/>
                <w:szCs w:val="21"/>
              </w:rPr>
              <w:t>专业材料，对《安全技术与管理》（专科）专业规则中的课程设置，征求了西安市安监局的反馈意见和建议，并及时修改了专业规则中的相关课程设置。</w:t>
            </w:r>
          </w:p>
          <w:p>
            <w:pPr>
              <w:tabs>
                <w:tab w:val="left" w:pos="1440"/>
              </w:tabs>
              <w:adjustRightInd w:val="0"/>
              <w:snapToGrid w:val="0"/>
              <w:spacing w:line="360" w:lineRule="exact"/>
              <w:ind w:firstLine="480"/>
              <w:rPr>
                <w:szCs w:val="21"/>
              </w:rPr>
            </w:pPr>
            <w:r>
              <w:rPr>
                <w:szCs w:val="21"/>
              </w:rPr>
              <w:t>2016</w:t>
            </w:r>
            <w:r>
              <w:rPr>
                <w:rFonts w:hint="eastAsia"/>
                <w:szCs w:val="21"/>
              </w:rPr>
              <w:t>年</w:t>
            </w:r>
            <w:r>
              <w:rPr>
                <w:szCs w:val="21"/>
              </w:rPr>
              <w:t>3</w:t>
            </w:r>
            <w:r>
              <w:rPr>
                <w:rFonts w:hint="eastAsia"/>
                <w:szCs w:val="21"/>
              </w:rPr>
              <w:t>月</w:t>
            </w:r>
            <w:r>
              <w:rPr>
                <w:szCs w:val="21"/>
              </w:rPr>
              <w:t>10</w:t>
            </w:r>
            <w:r>
              <w:rPr>
                <w:rFonts w:hint="eastAsia"/>
                <w:szCs w:val="21"/>
              </w:rPr>
              <w:t>日，国家开放大学西安分部组织进行了《安全技术与管理》（专科）专业建设专家论证会，西安科技大学安全工程专业的林</w:t>
            </w:r>
            <w:r>
              <w:rPr>
                <w:szCs w:val="21"/>
              </w:rPr>
              <w:t>海飞</w:t>
            </w:r>
            <w:r>
              <w:rPr>
                <w:rFonts w:hint="eastAsia"/>
                <w:szCs w:val="21"/>
              </w:rPr>
              <w:t>教授，西安建筑</w:t>
            </w:r>
            <w:r>
              <w:rPr>
                <w:szCs w:val="21"/>
              </w:rPr>
              <w:t>科技大学安全工程专业的</w:t>
            </w:r>
            <w:r>
              <w:rPr>
                <w:rFonts w:hint="eastAsia"/>
                <w:szCs w:val="21"/>
              </w:rPr>
              <w:t>徐善</w:t>
            </w:r>
            <w:r>
              <w:rPr>
                <w:szCs w:val="21"/>
              </w:rPr>
              <w:t>华</w:t>
            </w:r>
            <w:r>
              <w:rPr>
                <w:rFonts w:hint="eastAsia"/>
                <w:szCs w:val="21"/>
              </w:rPr>
              <w:t>教授、</w:t>
            </w:r>
            <w:r>
              <w:rPr>
                <w:szCs w:val="21"/>
              </w:rPr>
              <w:t>门进杰教授、</w:t>
            </w:r>
            <w:r>
              <w:rPr>
                <w:rFonts w:hint="eastAsia"/>
                <w:szCs w:val="21"/>
              </w:rPr>
              <w:t>郑</w:t>
            </w:r>
            <w:r>
              <w:rPr>
                <w:szCs w:val="21"/>
              </w:rPr>
              <w:t>山锁教授</w:t>
            </w:r>
            <w:r>
              <w:rPr>
                <w:rFonts w:hint="eastAsia"/>
                <w:szCs w:val="21"/>
              </w:rPr>
              <w:t>、</w:t>
            </w:r>
            <w:r>
              <w:rPr>
                <w:szCs w:val="21"/>
              </w:rPr>
              <w:t>周铁钢教授、</w:t>
            </w:r>
            <w:r>
              <w:rPr>
                <w:rFonts w:hint="eastAsia"/>
                <w:szCs w:val="21"/>
              </w:rPr>
              <w:t>宋战</w:t>
            </w:r>
            <w:r>
              <w:rPr>
                <w:szCs w:val="21"/>
              </w:rPr>
              <w:t>平教授</w:t>
            </w:r>
            <w:r>
              <w:rPr>
                <w:rFonts w:hint="eastAsia"/>
                <w:szCs w:val="21"/>
              </w:rPr>
              <w:t>，西安电大副校长赵丽玲教授，教务处、教学部相关领导和专业负责教师参加了</w:t>
            </w:r>
            <w:r>
              <w:rPr>
                <w:szCs w:val="21"/>
              </w:rPr>
              <w:t>会议</w:t>
            </w:r>
            <w:r>
              <w:rPr>
                <w:rFonts w:hint="eastAsia"/>
                <w:szCs w:val="21"/>
              </w:rPr>
              <w:t>。会上</w:t>
            </w:r>
            <w:r>
              <w:rPr>
                <w:szCs w:val="21"/>
              </w:rPr>
              <w:t>，</w:t>
            </w:r>
            <w:r>
              <w:rPr>
                <w:rFonts w:hint="eastAsia"/>
                <w:szCs w:val="21"/>
              </w:rPr>
              <w:t>论证专家对于课程设置、实践环节、专业规则以及申报材料等内容提出了切实有效的意见和建议。会后，专业教学团队对相关材料及时进行了修改与补充，并再次让学科专家进行了审核，得到了专家的一致认可。</w:t>
            </w:r>
          </w:p>
          <w:p>
            <w:pPr>
              <w:tabs>
                <w:tab w:val="left" w:pos="1440"/>
              </w:tabs>
              <w:adjustRightInd w:val="0"/>
              <w:snapToGrid w:val="0"/>
              <w:spacing w:line="360" w:lineRule="exact"/>
              <w:ind w:firstLine="480"/>
              <w:rPr>
                <w:szCs w:val="21"/>
              </w:rPr>
            </w:pPr>
            <w:r>
              <w:rPr>
                <w:szCs w:val="21"/>
              </w:rPr>
              <w:t>2016</w:t>
            </w:r>
            <w:r>
              <w:rPr>
                <w:rFonts w:hint="eastAsia"/>
                <w:szCs w:val="21"/>
              </w:rPr>
              <w:t>年</w:t>
            </w:r>
            <w:r>
              <w:rPr>
                <w:szCs w:val="21"/>
              </w:rPr>
              <w:t>5</w:t>
            </w:r>
            <w:r>
              <w:rPr>
                <w:rFonts w:hint="eastAsia"/>
                <w:szCs w:val="21"/>
              </w:rPr>
              <w:t>月</w:t>
            </w:r>
            <w:r>
              <w:rPr>
                <w:szCs w:val="21"/>
              </w:rPr>
              <w:t>5</w:t>
            </w:r>
            <w:r>
              <w:rPr>
                <w:rFonts w:hint="eastAsia"/>
                <w:szCs w:val="21"/>
              </w:rPr>
              <w:t>日，《安全技术与管理》（专科）专业教学团队人员制定了</w:t>
            </w:r>
            <w:r>
              <w:rPr>
                <w:szCs w:val="21"/>
              </w:rPr>
              <w:t>15</w:t>
            </w:r>
            <w:r>
              <w:rPr>
                <w:rFonts w:hint="eastAsia"/>
                <w:szCs w:val="21"/>
              </w:rPr>
              <w:t>门课程的教学规范文档，包括每门课的基本信息、教学内容和考核方式说明等，为以后的课程资源建设和教学提供了依据。</w:t>
            </w:r>
          </w:p>
          <w:p>
            <w:pPr>
              <w:tabs>
                <w:tab w:val="left" w:pos="1440"/>
              </w:tabs>
              <w:adjustRightInd w:val="0"/>
              <w:snapToGrid w:val="0"/>
              <w:spacing w:line="360" w:lineRule="exact"/>
              <w:ind w:firstLine="482"/>
              <w:rPr>
                <w:b/>
              </w:rPr>
            </w:pPr>
            <w:r>
              <w:rPr>
                <w:rFonts w:hint="eastAsia"/>
                <w:b/>
              </w:rPr>
              <w:t>三、确定建设重点课程，保证专业开设条件</w:t>
            </w:r>
          </w:p>
          <w:p>
            <w:pPr>
              <w:tabs>
                <w:tab w:val="left" w:pos="1440"/>
              </w:tabs>
              <w:adjustRightInd w:val="0"/>
              <w:snapToGrid w:val="0"/>
              <w:spacing w:line="360" w:lineRule="exact"/>
              <w:ind w:firstLine="480"/>
              <w:rPr>
                <w:szCs w:val="21"/>
              </w:rPr>
            </w:pPr>
            <w:r>
              <w:rPr>
                <w:rFonts w:hint="eastAsia"/>
                <w:szCs w:val="21"/>
              </w:rPr>
              <w:t>《安全技术与管理》（专科）专业建设团队积极进行课程资源建设工作，采用自建、共建和引进三种方式。本专业将结合西安市行业特点，编写突出专业职业能力的教材，联合部分兄弟院校共同开展课程资源建设及专业建设工作，同时采用引进的方式，聘请西安建筑科技大学资深专家进行参编和主审，吸收系统外优质教材和教学资源。</w:t>
            </w:r>
          </w:p>
          <w:p>
            <w:pPr>
              <w:tabs>
                <w:tab w:val="left" w:pos="1440"/>
              </w:tabs>
              <w:adjustRightInd w:val="0"/>
              <w:snapToGrid w:val="0"/>
              <w:spacing w:line="360" w:lineRule="exact"/>
              <w:ind w:firstLine="480"/>
              <w:rPr>
                <w:szCs w:val="21"/>
              </w:rPr>
            </w:pPr>
            <w:r>
              <w:rPr>
                <w:rFonts w:hint="eastAsia"/>
                <w:szCs w:val="21"/>
              </w:rPr>
              <w:t>为发挥教育信息技术的教育能效，建设并扩大优质资源辐射面，以学校远程教育优势资源为依托，结合网络课程、微课程、小课件等多种形式教学资源建设经验，在较短时间内建成内容丰富、教学效果良好、实现多方共享的优质资源。经过学校资源建设委员会的评议，确定《安全技术与管理》（专科）专业的一门课程作为国家开放大学西安分部的精品课程进行资源建设。</w:t>
            </w:r>
          </w:p>
          <w:p>
            <w:pPr>
              <w:tabs>
                <w:tab w:val="left" w:pos="1440"/>
              </w:tabs>
              <w:adjustRightInd w:val="0"/>
              <w:snapToGrid w:val="0"/>
              <w:spacing w:line="360" w:lineRule="exact"/>
              <w:ind w:firstLine="480"/>
              <w:rPr>
                <w:szCs w:val="21"/>
              </w:rPr>
            </w:pPr>
            <w:r>
              <w:rPr>
                <w:rFonts w:hint="eastAsia"/>
                <w:szCs w:val="21"/>
              </w:rPr>
              <w:t>实践环节的教学，采用集中式、分散式等多种形式进行，依托西安建筑科技大学、</w:t>
            </w:r>
            <w:r>
              <w:rPr>
                <w:szCs w:val="21"/>
              </w:rPr>
              <w:t>西安科技大学</w:t>
            </w:r>
            <w:r>
              <w:rPr>
                <w:rFonts w:hint="eastAsia"/>
                <w:szCs w:val="21"/>
              </w:rPr>
              <w:t>等普通高校和行业企业完善的实践场地和设施，进行课程以及实践环节的资源共享，同时发挥在职成人学生的岗位优势，进行定岗实践等教学活动。</w:t>
            </w:r>
          </w:p>
          <w:p>
            <w:pPr>
              <w:tabs>
                <w:tab w:val="left" w:pos="1440"/>
              </w:tabs>
              <w:adjustRightInd w:val="0"/>
              <w:snapToGrid w:val="0"/>
              <w:spacing w:line="360" w:lineRule="exact"/>
              <w:ind w:firstLine="480"/>
              <w:rPr>
                <w:rFonts w:hint="eastAsia"/>
                <w:szCs w:val="21"/>
              </w:rPr>
            </w:pPr>
            <w:r>
              <w:rPr>
                <w:rFonts w:hint="eastAsia"/>
                <w:szCs w:val="21"/>
              </w:rPr>
              <w:t>经以上综合分析，国家开放大学西安分部已经具备开办《安全技术与管理》（专科）专业的条件，特此申请。</w:t>
            </w: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p>
            <w:pPr>
              <w:tabs>
                <w:tab w:val="left" w:pos="1440"/>
              </w:tabs>
              <w:adjustRightInd w:val="0"/>
              <w:snapToGrid w:val="0"/>
              <w:spacing w:line="360" w:lineRule="exact"/>
              <w:ind w:firstLine="48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9639" w:type="dxa"/>
            <w:gridSpan w:val="6"/>
            <w:vAlign w:val="center"/>
          </w:tcPr>
          <w:p>
            <w:pPr>
              <w:spacing w:line="324" w:lineRule="auto"/>
              <w:ind w:firstLine="480"/>
              <w:rPr>
                <w:rFonts w:ascii="宋体" w:cs="仿宋_GB2312"/>
                <w:color w:val="000000"/>
                <w:kern w:val="0"/>
              </w:rPr>
            </w:pPr>
            <w:r>
              <w:rPr>
                <w:rFonts w:hint="eastAsia" w:ascii="宋体" w:hAnsi="宋体" w:cs="仿宋_GB2312"/>
                <w:color w:val="000000"/>
                <w:kern w:val="0"/>
              </w:rPr>
              <w:t>申请单位意见：</w:t>
            </w:r>
          </w:p>
          <w:p>
            <w:pPr>
              <w:tabs>
                <w:tab w:val="left" w:pos="1905"/>
                <w:tab w:val="center" w:pos="4698"/>
              </w:tabs>
              <w:spacing w:line="324" w:lineRule="auto"/>
              <w:ind w:firstLine="480"/>
              <w:jc w:val="center"/>
              <w:rPr>
                <w:rFonts w:ascii="宋体" w:cs="仿宋_GB2312"/>
                <w:color w:val="000000"/>
                <w:kern w:val="0"/>
              </w:rPr>
            </w:pPr>
          </w:p>
          <w:p>
            <w:pPr>
              <w:tabs>
                <w:tab w:val="left" w:pos="1905"/>
                <w:tab w:val="center" w:pos="4698"/>
              </w:tabs>
              <w:spacing w:line="324" w:lineRule="auto"/>
              <w:ind w:firstLine="480"/>
              <w:jc w:val="center"/>
              <w:rPr>
                <w:rFonts w:ascii="宋体" w:cs="仿宋_GB2312"/>
                <w:color w:val="000000"/>
                <w:kern w:val="0"/>
              </w:rPr>
            </w:pPr>
          </w:p>
          <w:p>
            <w:pPr>
              <w:tabs>
                <w:tab w:val="left" w:pos="1905"/>
                <w:tab w:val="center" w:pos="4698"/>
              </w:tabs>
              <w:spacing w:line="324" w:lineRule="auto"/>
              <w:ind w:firstLine="480"/>
              <w:rPr>
                <w:rFonts w:ascii="宋体" w:cs="仿宋_GB2312"/>
                <w:color w:val="000000"/>
                <w:kern w:val="0"/>
              </w:rPr>
            </w:pPr>
          </w:p>
          <w:p>
            <w:pPr>
              <w:tabs>
                <w:tab w:val="left" w:pos="1905"/>
                <w:tab w:val="center" w:pos="4698"/>
              </w:tabs>
              <w:spacing w:beforeLines="50" w:afterLines="50"/>
              <w:ind w:firstLine="480"/>
              <w:jc w:val="center"/>
              <w:rPr>
                <w:rFonts w:ascii="宋体" w:cs="仿宋_GB2312"/>
                <w:color w:val="000000"/>
                <w:kern w:val="0"/>
                <w:u w:val="single"/>
              </w:rPr>
            </w:pPr>
            <w:r>
              <w:rPr>
                <w:rFonts w:hint="eastAsia" w:ascii="宋体" w:hAnsi="宋体" w:cs="仿宋_GB2312"/>
                <w:color w:val="000000"/>
                <w:kern w:val="0"/>
              </w:rPr>
              <w:t>申请单位负责人：</w:t>
            </w:r>
          </w:p>
          <w:p>
            <w:pPr>
              <w:tabs>
                <w:tab w:val="left" w:pos="1905"/>
                <w:tab w:val="center" w:pos="4698"/>
              </w:tabs>
              <w:spacing w:beforeLines="50" w:afterLines="50"/>
              <w:ind w:firstLine="480"/>
              <w:jc w:val="center"/>
              <w:rPr>
                <w:rFonts w:ascii="宋体" w:cs="仿宋_GB2312"/>
                <w:color w:val="000000"/>
                <w:kern w:val="0"/>
                <w:u w:val="single"/>
              </w:rPr>
            </w:pPr>
            <w:r>
              <w:rPr>
                <w:rFonts w:hint="eastAsia" w:ascii="宋体" w:hAnsi="宋体" w:cs="仿宋_GB2312"/>
                <w:color w:val="000000"/>
                <w:kern w:val="0"/>
              </w:rPr>
              <w:t>（学院签章）</w:t>
            </w:r>
            <w:r>
              <w:rPr>
                <w:rFonts w:hint="eastAsia" w:ascii="宋体" w:hAnsi="宋体"/>
              </w:rPr>
              <w:t>年月日</w:t>
            </w:r>
          </w:p>
        </w:tc>
      </w:tr>
    </w:tbl>
    <w:p>
      <w:pPr>
        <w:ind w:firstLine="480"/>
      </w:pPr>
      <w:r>
        <w:rPr>
          <w:rFonts w:hint="eastAsia"/>
        </w:rPr>
        <w:drawing>
          <wp:anchor distT="0" distB="0" distL="114300" distR="114300" simplePos="0" relativeHeight="251665408" behindDoc="0" locked="0" layoutInCell="1" allowOverlap="1">
            <wp:simplePos x="0" y="0"/>
            <wp:positionH relativeFrom="margin">
              <wp:align>right</wp:align>
            </wp:positionH>
            <wp:positionV relativeFrom="paragraph">
              <wp:posOffset>-9190990</wp:posOffset>
            </wp:positionV>
            <wp:extent cx="276225" cy="20002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6225" cy="200025"/>
                    </a:xfrm>
                    <a:prstGeom prst="rect">
                      <a:avLst/>
                    </a:prstGeom>
                  </pic:spPr>
                </pic:pic>
              </a:graphicData>
            </a:graphic>
          </wp:anchor>
        </w:drawing>
      </w:r>
    </w:p>
    <w:p>
      <w:pPr>
        <w:ind w:firstLine="0" w:firstLineChars="0"/>
        <w:jc w:val="center"/>
        <w:rPr>
          <w:rFonts w:ascii="宋体" w:hAnsi="宋体"/>
          <w:b/>
          <w:bCs/>
          <w:kern w:val="0"/>
          <w:sz w:val="32"/>
          <w:szCs w:val="32"/>
        </w:rPr>
      </w:pPr>
      <w:r>
        <w:rPr>
          <w:rFonts w:hint="eastAsia" w:ascii="宋体" w:hAnsi="宋体"/>
          <w:b/>
          <w:bCs/>
          <w:kern w:val="0"/>
          <w:sz w:val="32"/>
          <w:szCs w:val="32"/>
        </w:rPr>
        <w:t>资源环境与安全大类安全类</w:t>
      </w:r>
    </w:p>
    <w:p>
      <w:pPr>
        <w:spacing w:afterLines="50"/>
        <w:ind w:firstLine="0" w:firstLineChars="0"/>
        <w:jc w:val="center"/>
        <w:rPr>
          <w:rFonts w:ascii="宋体" w:hAnsi="宋体"/>
          <w:b/>
          <w:bCs/>
          <w:kern w:val="0"/>
          <w:sz w:val="32"/>
          <w:szCs w:val="32"/>
        </w:rPr>
      </w:pPr>
      <w:r>
        <w:rPr>
          <w:rFonts w:hint="eastAsia" w:ascii="宋体" w:hAnsi="宋体"/>
          <w:b/>
          <w:bCs/>
          <w:kern w:val="0"/>
          <w:sz w:val="32"/>
          <w:szCs w:val="32"/>
        </w:rPr>
        <w:t>安全技术与管理（专科）专业规则</w:t>
      </w:r>
    </w:p>
    <w:tbl>
      <w:tblPr>
        <w:tblStyle w:val="16"/>
        <w:tblW w:w="10268" w:type="dxa"/>
        <w:tblInd w:w="-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675"/>
        <w:gridCol w:w="798"/>
        <w:gridCol w:w="725"/>
        <w:gridCol w:w="592"/>
        <w:gridCol w:w="792"/>
        <w:gridCol w:w="1740"/>
        <w:gridCol w:w="670"/>
        <w:gridCol w:w="567"/>
        <w:gridCol w:w="992"/>
        <w:gridCol w:w="709"/>
        <w:gridCol w:w="547"/>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trPr>
        <w:tc>
          <w:tcPr>
            <w:tcW w:w="2647" w:type="dxa"/>
            <w:gridSpan w:val="4"/>
            <w:tcMar>
              <w:top w:w="15" w:type="dxa"/>
              <w:left w:w="15" w:type="dxa"/>
              <w:right w:w="15" w:type="dxa"/>
            </w:tcMar>
            <w:vAlign w:val="center"/>
          </w:tcPr>
          <w:p>
            <w:pPr>
              <w:ind w:firstLine="0" w:firstLineChars="0"/>
              <w:jc w:val="center"/>
              <w:rPr>
                <w:b/>
                <w:color w:val="000000"/>
                <w:kern w:val="1"/>
              </w:rPr>
            </w:pPr>
            <w:r>
              <w:rPr>
                <w:b/>
                <w:color w:val="000000"/>
                <w:kern w:val="1"/>
              </w:rPr>
              <w:t>专业名称</w:t>
            </w:r>
          </w:p>
        </w:tc>
        <w:tc>
          <w:tcPr>
            <w:tcW w:w="3124" w:type="dxa"/>
            <w:gridSpan w:val="3"/>
            <w:vAlign w:val="center"/>
          </w:tcPr>
          <w:p>
            <w:pPr>
              <w:ind w:firstLine="0" w:firstLineChars="0"/>
              <w:jc w:val="center"/>
              <w:rPr>
                <w:color w:val="000000"/>
                <w:kern w:val="1"/>
                <w:sz w:val="21"/>
                <w:szCs w:val="21"/>
              </w:rPr>
            </w:pPr>
            <w:r>
              <w:rPr>
                <w:color w:val="000000"/>
                <w:kern w:val="1"/>
                <w:sz w:val="21"/>
                <w:szCs w:val="21"/>
              </w:rPr>
              <w:t>安全技术与管理</w:t>
            </w:r>
          </w:p>
        </w:tc>
        <w:tc>
          <w:tcPr>
            <w:tcW w:w="2229" w:type="dxa"/>
            <w:gridSpan w:val="3"/>
            <w:vAlign w:val="center"/>
          </w:tcPr>
          <w:p>
            <w:pPr>
              <w:ind w:firstLine="0" w:firstLineChars="0"/>
              <w:jc w:val="center"/>
              <w:rPr>
                <w:b/>
                <w:color w:val="000000"/>
                <w:kern w:val="1"/>
              </w:rPr>
            </w:pPr>
            <w:r>
              <w:rPr>
                <w:b/>
                <w:color w:val="000000"/>
                <w:kern w:val="1"/>
              </w:rPr>
              <w:t>规则号</w:t>
            </w:r>
          </w:p>
        </w:tc>
        <w:tc>
          <w:tcPr>
            <w:tcW w:w="2268" w:type="dxa"/>
            <w:gridSpan w:val="3"/>
            <w:vAlign w:val="center"/>
          </w:tcPr>
          <w:p>
            <w:pPr>
              <w:ind w:firstLine="0" w:firstLineChars="0"/>
              <w:jc w:val="center"/>
              <w:rPr>
                <w:color w:val="000000"/>
                <w:kern w:val="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trPr>
        <w:tc>
          <w:tcPr>
            <w:tcW w:w="2647" w:type="dxa"/>
            <w:gridSpan w:val="4"/>
            <w:tcMar>
              <w:top w:w="15" w:type="dxa"/>
              <w:left w:w="15" w:type="dxa"/>
              <w:right w:w="15" w:type="dxa"/>
            </w:tcMar>
            <w:vAlign w:val="center"/>
          </w:tcPr>
          <w:p>
            <w:pPr>
              <w:ind w:firstLine="0" w:firstLineChars="0"/>
              <w:jc w:val="center"/>
              <w:rPr>
                <w:b/>
                <w:color w:val="000000"/>
                <w:kern w:val="1"/>
              </w:rPr>
            </w:pPr>
            <w:r>
              <w:rPr>
                <w:b/>
                <w:color w:val="000000"/>
                <w:kern w:val="1"/>
              </w:rPr>
              <w:t>学生类型</w:t>
            </w:r>
          </w:p>
        </w:tc>
        <w:tc>
          <w:tcPr>
            <w:tcW w:w="3124" w:type="dxa"/>
            <w:gridSpan w:val="3"/>
            <w:vAlign w:val="center"/>
          </w:tcPr>
          <w:p>
            <w:pPr>
              <w:ind w:firstLine="0" w:firstLineChars="0"/>
              <w:jc w:val="center"/>
              <w:rPr>
                <w:color w:val="000000"/>
                <w:kern w:val="1"/>
                <w:sz w:val="21"/>
                <w:szCs w:val="21"/>
              </w:rPr>
            </w:pPr>
            <w:r>
              <w:rPr>
                <w:color w:val="000000"/>
                <w:kern w:val="1"/>
                <w:sz w:val="21"/>
                <w:szCs w:val="21"/>
              </w:rPr>
              <w:t>助力计划</w:t>
            </w:r>
          </w:p>
        </w:tc>
        <w:tc>
          <w:tcPr>
            <w:tcW w:w="2229" w:type="dxa"/>
            <w:gridSpan w:val="3"/>
            <w:vAlign w:val="center"/>
          </w:tcPr>
          <w:p>
            <w:pPr>
              <w:ind w:firstLine="0" w:firstLineChars="0"/>
              <w:jc w:val="center"/>
              <w:rPr>
                <w:b/>
                <w:color w:val="000000"/>
                <w:kern w:val="1"/>
              </w:rPr>
            </w:pPr>
            <w:r>
              <w:rPr>
                <w:b/>
                <w:color w:val="000000"/>
                <w:kern w:val="1"/>
              </w:rPr>
              <w:t>专业层次</w:t>
            </w:r>
          </w:p>
        </w:tc>
        <w:tc>
          <w:tcPr>
            <w:tcW w:w="2268" w:type="dxa"/>
            <w:gridSpan w:val="3"/>
            <w:vAlign w:val="center"/>
          </w:tcPr>
          <w:p>
            <w:pPr>
              <w:ind w:firstLine="0" w:firstLineChars="0"/>
              <w:jc w:val="center"/>
              <w:rPr>
                <w:color w:val="000000"/>
                <w:kern w:val="1"/>
                <w:sz w:val="21"/>
                <w:szCs w:val="21"/>
              </w:rPr>
            </w:pPr>
            <w:r>
              <w:rPr>
                <w:color w:val="000000"/>
                <w:kern w:val="1"/>
                <w:sz w:val="21"/>
                <w:szCs w:val="21"/>
              </w:rPr>
              <w:t>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exact"/>
        </w:trPr>
        <w:tc>
          <w:tcPr>
            <w:tcW w:w="2647" w:type="dxa"/>
            <w:gridSpan w:val="4"/>
            <w:tcMar>
              <w:top w:w="15" w:type="dxa"/>
              <w:left w:w="15" w:type="dxa"/>
              <w:right w:w="15" w:type="dxa"/>
            </w:tcMar>
            <w:vAlign w:val="center"/>
          </w:tcPr>
          <w:p>
            <w:pPr>
              <w:ind w:firstLine="0" w:firstLineChars="0"/>
              <w:jc w:val="center"/>
              <w:rPr>
                <w:b/>
                <w:color w:val="000000"/>
                <w:kern w:val="1"/>
              </w:rPr>
            </w:pPr>
            <w:r>
              <w:rPr>
                <w:b/>
                <w:color w:val="000000"/>
                <w:kern w:val="1"/>
              </w:rPr>
              <w:t>毕业学分</w:t>
            </w:r>
          </w:p>
        </w:tc>
        <w:tc>
          <w:tcPr>
            <w:tcW w:w="3124" w:type="dxa"/>
            <w:gridSpan w:val="3"/>
            <w:vAlign w:val="center"/>
          </w:tcPr>
          <w:p>
            <w:pPr>
              <w:ind w:firstLine="0" w:firstLineChars="0"/>
              <w:jc w:val="center"/>
              <w:rPr>
                <w:rFonts w:eastAsia="Times New Roman"/>
                <w:color w:val="000000"/>
                <w:kern w:val="1"/>
                <w:sz w:val="21"/>
                <w:szCs w:val="21"/>
              </w:rPr>
            </w:pPr>
            <w:r>
              <w:rPr>
                <w:rFonts w:eastAsia="Times New Roman"/>
                <w:color w:val="000000"/>
                <w:kern w:val="1"/>
                <w:sz w:val="21"/>
                <w:szCs w:val="21"/>
              </w:rPr>
              <w:t>76</w:t>
            </w:r>
          </w:p>
        </w:tc>
        <w:tc>
          <w:tcPr>
            <w:tcW w:w="2229" w:type="dxa"/>
            <w:gridSpan w:val="3"/>
            <w:vAlign w:val="center"/>
          </w:tcPr>
          <w:p>
            <w:pPr>
              <w:ind w:firstLine="0" w:firstLineChars="0"/>
              <w:jc w:val="center"/>
              <w:rPr>
                <w:b/>
                <w:color w:val="000000"/>
                <w:kern w:val="1"/>
              </w:rPr>
            </w:pPr>
            <w:r>
              <w:rPr>
                <w:b/>
                <w:color w:val="000000"/>
                <w:kern w:val="1"/>
              </w:rPr>
              <w:t>国开考试学分</w:t>
            </w:r>
          </w:p>
        </w:tc>
        <w:tc>
          <w:tcPr>
            <w:tcW w:w="2268" w:type="dxa"/>
            <w:gridSpan w:val="3"/>
            <w:vAlign w:val="center"/>
          </w:tcPr>
          <w:p>
            <w:pPr>
              <w:ind w:firstLine="0" w:firstLineChars="0"/>
              <w:jc w:val="center"/>
              <w:rPr>
                <w:color w:val="000000"/>
                <w:kern w:val="1"/>
                <w:sz w:val="21"/>
                <w:szCs w:val="21"/>
              </w:rPr>
            </w:pPr>
            <w:r>
              <w:rPr>
                <w:color w:val="000000"/>
                <w:kern w:val="1"/>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49" w:type="dxa"/>
            <w:tcMar>
              <w:top w:w="15" w:type="dxa"/>
              <w:left w:w="15" w:type="dxa"/>
              <w:right w:w="15" w:type="dxa"/>
            </w:tcMar>
            <w:vAlign w:val="center"/>
          </w:tcPr>
          <w:p>
            <w:pPr>
              <w:ind w:firstLine="0" w:firstLineChars="0"/>
              <w:jc w:val="center"/>
              <w:rPr>
                <w:b/>
                <w:color w:val="000000"/>
                <w:kern w:val="1"/>
              </w:rPr>
            </w:pPr>
            <w:r>
              <w:rPr>
                <w:b/>
                <w:color w:val="000000"/>
                <w:kern w:val="1"/>
              </w:rPr>
              <w:t>模块名</w:t>
            </w:r>
          </w:p>
        </w:tc>
        <w:tc>
          <w:tcPr>
            <w:tcW w:w="675" w:type="dxa"/>
            <w:vAlign w:val="center"/>
          </w:tcPr>
          <w:p>
            <w:pPr>
              <w:ind w:firstLine="0" w:firstLineChars="0"/>
              <w:jc w:val="center"/>
              <w:rPr>
                <w:b/>
                <w:color w:val="000000"/>
                <w:kern w:val="1"/>
              </w:rPr>
            </w:pPr>
            <w:r>
              <w:rPr>
                <w:b/>
                <w:color w:val="000000"/>
                <w:kern w:val="1"/>
              </w:rPr>
              <w:t>模块最低毕业学分</w:t>
            </w:r>
          </w:p>
        </w:tc>
        <w:tc>
          <w:tcPr>
            <w:tcW w:w="798" w:type="dxa"/>
            <w:vAlign w:val="center"/>
          </w:tcPr>
          <w:p>
            <w:pPr>
              <w:ind w:firstLine="0" w:firstLineChars="0"/>
              <w:jc w:val="center"/>
              <w:rPr>
                <w:b/>
                <w:color w:val="000000"/>
                <w:kern w:val="1"/>
              </w:rPr>
            </w:pPr>
            <w:r>
              <w:rPr>
                <w:b/>
                <w:color w:val="000000"/>
                <w:kern w:val="1"/>
              </w:rPr>
              <w:t>模块最低国家开放大学考试学分</w:t>
            </w:r>
          </w:p>
        </w:tc>
        <w:tc>
          <w:tcPr>
            <w:tcW w:w="725" w:type="dxa"/>
            <w:vAlign w:val="center"/>
          </w:tcPr>
          <w:p>
            <w:pPr>
              <w:ind w:firstLine="0" w:firstLineChars="0"/>
              <w:jc w:val="center"/>
              <w:rPr>
                <w:b/>
                <w:color w:val="000000"/>
                <w:kern w:val="1"/>
              </w:rPr>
            </w:pPr>
            <w:r>
              <w:rPr>
                <w:b/>
                <w:color w:val="000000"/>
                <w:kern w:val="1"/>
              </w:rPr>
              <w:t>模块设置最低学分</w:t>
            </w:r>
          </w:p>
        </w:tc>
        <w:tc>
          <w:tcPr>
            <w:tcW w:w="592" w:type="dxa"/>
            <w:vAlign w:val="center"/>
          </w:tcPr>
          <w:p>
            <w:pPr>
              <w:ind w:firstLine="0" w:firstLineChars="0"/>
              <w:jc w:val="center"/>
              <w:rPr>
                <w:b/>
                <w:color w:val="000000"/>
                <w:kern w:val="1"/>
              </w:rPr>
            </w:pPr>
            <w:r>
              <w:rPr>
                <w:b/>
                <w:color w:val="000000"/>
                <w:kern w:val="1"/>
              </w:rPr>
              <w:t>序号</w:t>
            </w:r>
          </w:p>
        </w:tc>
        <w:tc>
          <w:tcPr>
            <w:tcW w:w="792" w:type="dxa"/>
            <w:vAlign w:val="center"/>
          </w:tcPr>
          <w:p>
            <w:pPr>
              <w:ind w:firstLine="0" w:firstLineChars="0"/>
              <w:jc w:val="center"/>
              <w:rPr>
                <w:b/>
                <w:color w:val="000000"/>
                <w:kern w:val="1"/>
              </w:rPr>
            </w:pPr>
            <w:r>
              <w:rPr>
                <w:b/>
                <w:color w:val="000000"/>
                <w:kern w:val="1"/>
              </w:rPr>
              <w:t>课程</w:t>
            </w:r>
          </w:p>
          <w:p>
            <w:pPr>
              <w:ind w:firstLine="0" w:firstLineChars="0"/>
              <w:jc w:val="center"/>
              <w:rPr>
                <w:b/>
                <w:color w:val="000000"/>
                <w:kern w:val="1"/>
              </w:rPr>
            </w:pPr>
            <w:r>
              <w:rPr>
                <w:b/>
                <w:color w:val="000000"/>
                <w:kern w:val="1"/>
              </w:rPr>
              <w:t>代码</w:t>
            </w:r>
          </w:p>
        </w:tc>
        <w:tc>
          <w:tcPr>
            <w:tcW w:w="2410" w:type="dxa"/>
            <w:gridSpan w:val="2"/>
            <w:vAlign w:val="center"/>
          </w:tcPr>
          <w:p>
            <w:pPr>
              <w:ind w:firstLine="0" w:firstLineChars="0"/>
              <w:jc w:val="center"/>
              <w:rPr>
                <w:b/>
                <w:color w:val="000000"/>
                <w:kern w:val="1"/>
              </w:rPr>
            </w:pPr>
            <w:r>
              <w:rPr>
                <w:b/>
                <w:color w:val="000000"/>
                <w:kern w:val="1"/>
              </w:rPr>
              <w:t>课程名称</w:t>
            </w:r>
          </w:p>
        </w:tc>
        <w:tc>
          <w:tcPr>
            <w:tcW w:w="567" w:type="dxa"/>
            <w:vAlign w:val="center"/>
          </w:tcPr>
          <w:p>
            <w:pPr>
              <w:ind w:firstLine="0" w:firstLineChars="0"/>
              <w:jc w:val="center"/>
              <w:rPr>
                <w:b/>
                <w:color w:val="000000"/>
                <w:kern w:val="1"/>
              </w:rPr>
            </w:pPr>
            <w:r>
              <w:rPr>
                <w:b/>
                <w:color w:val="000000"/>
                <w:kern w:val="1"/>
              </w:rPr>
              <w:t>学分</w:t>
            </w:r>
          </w:p>
        </w:tc>
        <w:tc>
          <w:tcPr>
            <w:tcW w:w="992" w:type="dxa"/>
            <w:vAlign w:val="center"/>
          </w:tcPr>
          <w:p>
            <w:pPr>
              <w:ind w:firstLine="0" w:firstLineChars="0"/>
              <w:jc w:val="center"/>
              <w:rPr>
                <w:b/>
                <w:color w:val="000000"/>
                <w:kern w:val="1"/>
              </w:rPr>
            </w:pPr>
            <w:r>
              <w:rPr>
                <w:b/>
                <w:color w:val="000000"/>
                <w:kern w:val="1"/>
              </w:rPr>
              <w:t>课程</w:t>
            </w:r>
          </w:p>
          <w:p>
            <w:pPr>
              <w:ind w:firstLine="0" w:firstLineChars="0"/>
              <w:jc w:val="center"/>
              <w:rPr>
                <w:b/>
                <w:color w:val="000000"/>
                <w:kern w:val="1"/>
              </w:rPr>
            </w:pPr>
            <w:r>
              <w:rPr>
                <w:b/>
                <w:color w:val="000000"/>
                <w:kern w:val="1"/>
              </w:rPr>
              <w:t>类型</w:t>
            </w:r>
          </w:p>
        </w:tc>
        <w:tc>
          <w:tcPr>
            <w:tcW w:w="709" w:type="dxa"/>
            <w:vAlign w:val="center"/>
          </w:tcPr>
          <w:p>
            <w:pPr>
              <w:ind w:firstLine="0" w:firstLineChars="0"/>
              <w:jc w:val="center"/>
              <w:rPr>
                <w:b/>
                <w:color w:val="000000"/>
                <w:kern w:val="1"/>
              </w:rPr>
            </w:pPr>
            <w:r>
              <w:rPr>
                <w:b/>
                <w:color w:val="000000"/>
                <w:kern w:val="1"/>
              </w:rPr>
              <w:t>课程</w:t>
            </w:r>
          </w:p>
          <w:p>
            <w:pPr>
              <w:ind w:firstLine="0" w:firstLineChars="0"/>
              <w:jc w:val="center"/>
              <w:rPr>
                <w:b/>
                <w:color w:val="000000"/>
                <w:kern w:val="1"/>
              </w:rPr>
            </w:pPr>
            <w:r>
              <w:rPr>
                <w:b/>
                <w:color w:val="000000"/>
                <w:kern w:val="1"/>
              </w:rPr>
              <w:t>性质</w:t>
            </w:r>
          </w:p>
        </w:tc>
        <w:tc>
          <w:tcPr>
            <w:tcW w:w="547" w:type="dxa"/>
            <w:vAlign w:val="center"/>
          </w:tcPr>
          <w:p>
            <w:pPr>
              <w:ind w:firstLine="0" w:firstLineChars="0"/>
              <w:jc w:val="center"/>
              <w:rPr>
                <w:b/>
                <w:color w:val="000000"/>
                <w:kern w:val="1"/>
              </w:rPr>
            </w:pPr>
            <w:r>
              <w:rPr>
                <w:b/>
                <w:color w:val="000000"/>
                <w:kern w:val="1"/>
              </w:rPr>
              <w:t>建议开设学期</w:t>
            </w:r>
          </w:p>
        </w:tc>
        <w:tc>
          <w:tcPr>
            <w:tcW w:w="1012" w:type="dxa"/>
            <w:vAlign w:val="center"/>
          </w:tcPr>
          <w:p>
            <w:pPr>
              <w:ind w:firstLine="0" w:firstLineChars="0"/>
              <w:jc w:val="center"/>
              <w:rPr>
                <w:b/>
                <w:color w:val="000000"/>
                <w:kern w:val="1"/>
              </w:rPr>
            </w:pPr>
            <w:r>
              <w:rPr>
                <w:b/>
                <w:color w:val="000000"/>
                <w:kern w:val="1"/>
              </w:rPr>
              <w:t>考试</w:t>
            </w:r>
          </w:p>
          <w:p>
            <w:pPr>
              <w:ind w:firstLine="0" w:firstLineChars="0"/>
              <w:jc w:val="center"/>
              <w:rPr>
                <w:b/>
                <w:color w:val="000000"/>
                <w:kern w:val="1"/>
              </w:rPr>
            </w:pPr>
            <w:r>
              <w:rPr>
                <w:b/>
                <w:color w:val="000000"/>
                <w:kern w:val="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49" w:type="dxa"/>
            <w:vMerge w:val="restart"/>
            <w:tcMar>
              <w:top w:w="15" w:type="dxa"/>
              <w:left w:w="15" w:type="dxa"/>
              <w:right w:w="15" w:type="dxa"/>
            </w:tcMar>
            <w:vAlign w:val="center"/>
          </w:tcPr>
          <w:p>
            <w:pPr>
              <w:ind w:firstLine="0" w:firstLineChars="0"/>
              <w:jc w:val="center"/>
              <w:rPr>
                <w:color w:val="000000"/>
                <w:kern w:val="1"/>
              </w:rPr>
            </w:pPr>
            <w:r>
              <w:rPr>
                <w:color w:val="000000"/>
                <w:kern w:val="1"/>
              </w:rPr>
              <w:t>公</w:t>
            </w:r>
            <w:r>
              <w:rPr>
                <w:rFonts w:hint="eastAsia"/>
                <w:color w:val="000000"/>
                <w:kern w:val="1"/>
              </w:rPr>
              <w:t>共</w:t>
            </w:r>
            <w:r>
              <w:rPr>
                <w:color w:val="000000"/>
                <w:kern w:val="1"/>
              </w:rPr>
              <w:t>基础课</w:t>
            </w:r>
          </w:p>
        </w:tc>
        <w:tc>
          <w:tcPr>
            <w:tcW w:w="67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9</w:t>
            </w:r>
          </w:p>
        </w:tc>
        <w:tc>
          <w:tcPr>
            <w:tcW w:w="798"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72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12</w:t>
            </w: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02969</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中国特色社会主义理论体系概论</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02970</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国家开放大学学习指南</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01819</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英语</w:t>
            </w:r>
            <w:r>
              <w:rPr>
                <w:rFonts w:hint="eastAsia" w:ascii="宋体" w:hAnsi="宋体"/>
                <w:color w:val="000000"/>
                <w:kern w:val="1"/>
                <w:sz w:val="21"/>
                <w:szCs w:val="21"/>
              </w:rPr>
              <w:t>Ⅰ</w:t>
            </w:r>
            <w:r>
              <w:rPr>
                <w:rFonts w:ascii="宋体" w:hAnsi="宋体"/>
                <w:color w:val="000000"/>
                <w:kern w:val="1"/>
                <w:sz w:val="21"/>
                <w:szCs w:val="21"/>
              </w:rPr>
              <w:t>（1）</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00453</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高等数学基础</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计算机文化基础</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restart"/>
            <w:vAlign w:val="center"/>
          </w:tcPr>
          <w:p>
            <w:pPr>
              <w:ind w:firstLine="0" w:firstLineChars="0"/>
              <w:jc w:val="center"/>
              <w:rPr>
                <w:color w:val="000000"/>
                <w:kern w:val="1"/>
              </w:rPr>
            </w:pPr>
            <w:r>
              <w:rPr>
                <w:color w:val="000000"/>
                <w:kern w:val="1"/>
              </w:rPr>
              <w:t>专业基础课</w:t>
            </w:r>
          </w:p>
        </w:tc>
        <w:tc>
          <w:tcPr>
            <w:tcW w:w="67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24</w:t>
            </w:r>
          </w:p>
        </w:tc>
        <w:tc>
          <w:tcPr>
            <w:tcW w:w="798" w:type="dxa"/>
            <w:vMerge w:val="restart"/>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r>
              <w:rPr>
                <w:rFonts w:ascii="宋体" w:hAnsi="宋体"/>
                <w:color w:val="000000"/>
                <w:kern w:val="1"/>
                <w:sz w:val="21"/>
                <w:szCs w:val="21"/>
              </w:rPr>
              <w:t>4</w:t>
            </w:r>
          </w:p>
        </w:tc>
        <w:tc>
          <w:tcPr>
            <w:tcW w:w="72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26</w:t>
            </w: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52649</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安全管理</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安全系统工程</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安全原理</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安全人机工程</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00494</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工程制图基础</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b/>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b/>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b/>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工业通风及除尘</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w:t>
            </w: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流体力学</w:t>
            </w:r>
            <w:r>
              <w:rPr>
                <w:rFonts w:hint="eastAsia" w:ascii="宋体" w:hAnsi="宋体"/>
                <w:color w:val="000000"/>
                <w:kern w:val="1"/>
                <w:sz w:val="21"/>
                <w:szCs w:val="21"/>
              </w:rPr>
              <w:t>与</w:t>
            </w:r>
            <w:r>
              <w:rPr>
                <w:rFonts w:ascii="宋体" w:hAnsi="宋体"/>
                <w:color w:val="000000"/>
                <w:kern w:val="1"/>
                <w:sz w:val="21"/>
                <w:szCs w:val="21"/>
              </w:rPr>
              <w:t>热工学基础</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安全管理文书写作</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b/>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信息管理系统</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restart"/>
            <w:tcMar>
              <w:top w:w="15" w:type="dxa"/>
              <w:left w:w="15" w:type="dxa"/>
              <w:right w:w="15" w:type="dxa"/>
            </w:tcMar>
            <w:vAlign w:val="center"/>
          </w:tcPr>
          <w:p>
            <w:pPr>
              <w:ind w:firstLine="0" w:firstLineChars="0"/>
              <w:jc w:val="center"/>
              <w:rPr>
                <w:color w:val="000000"/>
                <w:kern w:val="1"/>
              </w:rPr>
            </w:pPr>
            <w:r>
              <w:rPr>
                <w:color w:val="000000"/>
                <w:kern w:val="1"/>
              </w:rPr>
              <w:t>专业</w:t>
            </w:r>
          </w:p>
          <w:p>
            <w:pPr>
              <w:ind w:firstLine="0" w:firstLineChars="0"/>
              <w:jc w:val="center"/>
              <w:rPr>
                <w:color w:val="000000"/>
                <w:kern w:val="1"/>
              </w:rPr>
            </w:pPr>
            <w:r>
              <w:rPr>
                <w:color w:val="000000"/>
                <w:kern w:val="1"/>
              </w:rPr>
              <w:t>课</w:t>
            </w:r>
          </w:p>
        </w:tc>
        <w:tc>
          <w:tcPr>
            <w:tcW w:w="675" w:type="dxa"/>
            <w:vMerge w:val="restart"/>
            <w:vAlign w:val="center"/>
          </w:tcPr>
          <w:p>
            <w:pPr>
              <w:ind w:firstLine="0" w:firstLineChars="0"/>
              <w:jc w:val="center"/>
              <w:rPr>
                <w:rFonts w:ascii="宋体" w:hAnsi="宋体"/>
                <w:b/>
                <w:color w:val="000000"/>
                <w:kern w:val="1"/>
                <w:sz w:val="21"/>
                <w:szCs w:val="21"/>
              </w:rPr>
            </w:pPr>
            <w:r>
              <w:rPr>
                <w:rFonts w:ascii="宋体" w:hAnsi="宋体"/>
                <w:color w:val="000000"/>
                <w:kern w:val="1"/>
                <w:sz w:val="21"/>
                <w:szCs w:val="21"/>
              </w:rPr>
              <w:t>23</w:t>
            </w:r>
          </w:p>
        </w:tc>
        <w:tc>
          <w:tcPr>
            <w:tcW w:w="798"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13</w:t>
            </w:r>
          </w:p>
        </w:tc>
        <w:tc>
          <w:tcPr>
            <w:tcW w:w="72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31</w:t>
            </w: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特种设备安全</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事故管理与应急处置</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职业卫生基础</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电气安全技术</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必</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sz w:val="21"/>
                <w:szCs w:val="21"/>
              </w:rPr>
            </w:pPr>
            <w:r>
              <w:rPr>
                <w:rFonts w:ascii="宋体" w:hAnsi="宋体"/>
                <w:color w:val="000000"/>
                <w:kern w:val="1"/>
                <w:sz w:val="21"/>
                <w:szCs w:val="21"/>
              </w:rPr>
              <w:t>国开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安全评价</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w:t>
            </w: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03391</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工程项目管理</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w:t>
            </w: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w:t>
            </w:r>
            <w:r>
              <w:rPr>
                <w:rFonts w:ascii="宋体" w:hAnsi="宋体"/>
                <w:color w:val="000000"/>
                <w:kern w:val="1"/>
                <w:sz w:val="21"/>
                <w:szCs w:val="21"/>
              </w:rPr>
              <w:t>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防火防爆技术</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b/>
                <w:color w:val="000000"/>
                <w:kern w:val="1"/>
                <w:sz w:val="21"/>
                <w:szCs w:val="21"/>
              </w:rPr>
            </w:pPr>
            <w:r>
              <w:rPr>
                <w:rFonts w:ascii="宋体" w:hAnsi="宋体"/>
                <w:color w:val="000000"/>
                <w:kern w:val="1"/>
                <w:sz w:val="21"/>
                <w:szCs w:val="21"/>
              </w:rPr>
              <w:t>安全监测与监控</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安全法规</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高危行业安全</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restart"/>
            <w:tcMar>
              <w:top w:w="15" w:type="dxa"/>
              <w:left w:w="15" w:type="dxa"/>
              <w:right w:w="15" w:type="dxa"/>
            </w:tcMar>
            <w:vAlign w:val="center"/>
          </w:tcPr>
          <w:p>
            <w:pPr>
              <w:ind w:firstLine="0" w:firstLineChars="0"/>
              <w:jc w:val="center"/>
              <w:rPr>
                <w:color w:val="000000"/>
                <w:kern w:val="1"/>
              </w:rPr>
            </w:pPr>
            <w:r>
              <w:rPr>
                <w:rFonts w:hint="eastAsia"/>
                <w:color w:val="000000"/>
                <w:kern w:val="1"/>
              </w:rPr>
              <w:t>通识课</w:t>
            </w:r>
          </w:p>
        </w:tc>
        <w:tc>
          <w:tcPr>
            <w:tcW w:w="675" w:type="dxa"/>
            <w:vMerge w:val="restart"/>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798" w:type="dxa"/>
            <w:vMerge w:val="restart"/>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0</w:t>
            </w:r>
          </w:p>
        </w:tc>
        <w:tc>
          <w:tcPr>
            <w:tcW w:w="725" w:type="dxa"/>
            <w:vMerge w:val="restart"/>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10</w:t>
            </w: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51718</w:t>
            </w:r>
          </w:p>
        </w:tc>
        <w:tc>
          <w:tcPr>
            <w:tcW w:w="2410" w:type="dxa"/>
            <w:gridSpan w:val="2"/>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地域文化（专）</w:t>
            </w:r>
          </w:p>
        </w:tc>
        <w:tc>
          <w:tcPr>
            <w:tcW w:w="56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51709</w:t>
            </w:r>
          </w:p>
        </w:tc>
        <w:tc>
          <w:tcPr>
            <w:tcW w:w="2410" w:type="dxa"/>
            <w:gridSpan w:val="2"/>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社交礼仪</w:t>
            </w:r>
          </w:p>
        </w:tc>
        <w:tc>
          <w:tcPr>
            <w:tcW w:w="56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02495</w:t>
            </w:r>
          </w:p>
        </w:tc>
        <w:tc>
          <w:tcPr>
            <w:tcW w:w="2410" w:type="dxa"/>
            <w:gridSpan w:val="2"/>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实用法律基础</w:t>
            </w:r>
          </w:p>
        </w:tc>
        <w:tc>
          <w:tcPr>
            <w:tcW w:w="56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51684</w:t>
            </w:r>
          </w:p>
        </w:tc>
        <w:tc>
          <w:tcPr>
            <w:tcW w:w="2410" w:type="dxa"/>
            <w:gridSpan w:val="2"/>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实用写作</w:t>
            </w:r>
          </w:p>
        </w:tc>
        <w:tc>
          <w:tcPr>
            <w:tcW w:w="56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汉</w:t>
            </w:r>
            <w:r>
              <w:rPr>
                <w:rFonts w:ascii="宋体" w:hAnsi="宋体"/>
                <w:color w:val="000000"/>
                <w:kern w:val="1"/>
                <w:sz w:val="21"/>
                <w:szCs w:val="21"/>
              </w:rPr>
              <w:t>唐文化</w:t>
            </w:r>
          </w:p>
        </w:tc>
        <w:tc>
          <w:tcPr>
            <w:tcW w:w="56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2</w:t>
            </w:r>
          </w:p>
        </w:tc>
        <w:tc>
          <w:tcPr>
            <w:tcW w:w="99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1</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restart"/>
            <w:tcMar>
              <w:top w:w="15" w:type="dxa"/>
              <w:left w:w="15" w:type="dxa"/>
              <w:right w:w="15" w:type="dxa"/>
            </w:tcMar>
            <w:vAlign w:val="center"/>
          </w:tcPr>
          <w:p>
            <w:pPr>
              <w:ind w:firstLine="0" w:firstLineChars="0"/>
              <w:jc w:val="center"/>
              <w:rPr>
                <w:color w:val="000000"/>
                <w:kern w:val="1"/>
              </w:rPr>
            </w:pPr>
            <w:r>
              <w:rPr>
                <w:color w:val="000000"/>
                <w:kern w:val="1"/>
              </w:rPr>
              <w:t>综合实践</w:t>
            </w:r>
          </w:p>
        </w:tc>
        <w:tc>
          <w:tcPr>
            <w:tcW w:w="67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14</w:t>
            </w:r>
          </w:p>
        </w:tc>
        <w:tc>
          <w:tcPr>
            <w:tcW w:w="798"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w:t>
            </w:r>
          </w:p>
        </w:tc>
        <w:tc>
          <w:tcPr>
            <w:tcW w:w="72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20</w:t>
            </w: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毕业实践</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8</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必修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5</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工业通风除尘课程设计</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防火防爆课程设计</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安全评价课程设计</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tcMar>
              <w:top w:w="15" w:type="dxa"/>
              <w:left w:w="15" w:type="dxa"/>
              <w:right w:w="15" w:type="dxa"/>
            </w:tcMar>
            <w:vAlign w:val="center"/>
          </w:tcPr>
          <w:p>
            <w:pPr>
              <w:ind w:firstLine="0" w:firstLineChars="0"/>
              <w:jc w:val="center"/>
              <w:rPr>
                <w:color w:val="000000"/>
                <w:kern w:val="1"/>
              </w:rPr>
            </w:pPr>
          </w:p>
        </w:tc>
        <w:tc>
          <w:tcPr>
            <w:tcW w:w="675" w:type="dxa"/>
            <w:vMerge w:val="continue"/>
            <w:vAlign w:val="center"/>
          </w:tcPr>
          <w:p>
            <w:pPr>
              <w:ind w:firstLine="0" w:firstLineChars="0"/>
              <w:jc w:val="center"/>
              <w:rPr>
                <w:rFonts w:ascii="宋体" w:hAnsi="宋体"/>
                <w:color w:val="000000"/>
                <w:kern w:val="1"/>
                <w:sz w:val="21"/>
                <w:szCs w:val="21"/>
              </w:rPr>
            </w:pPr>
          </w:p>
        </w:tc>
        <w:tc>
          <w:tcPr>
            <w:tcW w:w="798" w:type="dxa"/>
            <w:vMerge w:val="continue"/>
            <w:vAlign w:val="center"/>
          </w:tcPr>
          <w:p>
            <w:pPr>
              <w:ind w:firstLine="0" w:firstLineChars="0"/>
              <w:jc w:val="center"/>
              <w:rPr>
                <w:rFonts w:ascii="宋体" w:hAnsi="宋体"/>
                <w:color w:val="000000"/>
                <w:kern w:val="1"/>
                <w:sz w:val="21"/>
                <w:szCs w:val="21"/>
              </w:rPr>
            </w:pPr>
          </w:p>
        </w:tc>
        <w:tc>
          <w:tcPr>
            <w:tcW w:w="725" w:type="dxa"/>
            <w:vMerge w:val="continue"/>
            <w:vAlign w:val="center"/>
          </w:tcPr>
          <w:p>
            <w:pPr>
              <w:ind w:firstLine="0" w:firstLineChars="0"/>
              <w:jc w:val="center"/>
              <w:rPr>
                <w:rFonts w:ascii="宋体" w:hAnsi="宋体"/>
                <w:color w:val="000000"/>
                <w:kern w:val="1"/>
                <w:sz w:val="21"/>
                <w:szCs w:val="21"/>
              </w:rPr>
            </w:pPr>
          </w:p>
        </w:tc>
        <w:tc>
          <w:tcPr>
            <w:tcW w:w="592" w:type="dxa"/>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职业危害因素分析评价</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restart"/>
            <w:vAlign w:val="center"/>
          </w:tcPr>
          <w:p>
            <w:pPr>
              <w:ind w:firstLine="0" w:firstLineChars="0"/>
              <w:jc w:val="center"/>
              <w:rPr>
                <w:color w:val="000000"/>
                <w:kern w:val="1"/>
              </w:rPr>
            </w:pPr>
            <w:r>
              <w:rPr>
                <w:color w:val="000000"/>
                <w:kern w:val="1"/>
              </w:rPr>
              <w:t>特色课</w:t>
            </w:r>
          </w:p>
        </w:tc>
        <w:tc>
          <w:tcPr>
            <w:tcW w:w="67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w:t>
            </w:r>
          </w:p>
        </w:tc>
        <w:tc>
          <w:tcPr>
            <w:tcW w:w="798"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0</w:t>
            </w:r>
          </w:p>
        </w:tc>
        <w:tc>
          <w:tcPr>
            <w:tcW w:w="725" w:type="dxa"/>
            <w:vMerge w:val="restart"/>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9</w:t>
            </w: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消防安全</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建筑施工安全</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9" w:type="dxa"/>
            <w:vMerge w:val="continue"/>
            <w:vAlign w:val="center"/>
          </w:tcPr>
          <w:p>
            <w:pPr>
              <w:ind w:firstLine="0" w:firstLineChars="0"/>
              <w:jc w:val="left"/>
              <w:rPr>
                <w:color w:val="000000"/>
                <w:kern w:val="1"/>
              </w:rPr>
            </w:pPr>
          </w:p>
        </w:tc>
        <w:tc>
          <w:tcPr>
            <w:tcW w:w="675" w:type="dxa"/>
            <w:vMerge w:val="continue"/>
            <w:vAlign w:val="center"/>
          </w:tcPr>
          <w:p>
            <w:pPr>
              <w:ind w:firstLine="0" w:firstLineChars="0"/>
              <w:jc w:val="left"/>
              <w:rPr>
                <w:rFonts w:ascii="宋体" w:hAnsi="宋体"/>
                <w:color w:val="000000"/>
                <w:kern w:val="1"/>
                <w:sz w:val="21"/>
                <w:szCs w:val="21"/>
              </w:rPr>
            </w:pPr>
          </w:p>
        </w:tc>
        <w:tc>
          <w:tcPr>
            <w:tcW w:w="798" w:type="dxa"/>
            <w:vMerge w:val="continue"/>
            <w:vAlign w:val="center"/>
          </w:tcPr>
          <w:p>
            <w:pPr>
              <w:ind w:firstLine="0" w:firstLineChars="0"/>
              <w:jc w:val="left"/>
              <w:rPr>
                <w:rFonts w:ascii="宋体" w:hAnsi="宋体"/>
                <w:color w:val="000000"/>
                <w:kern w:val="1"/>
                <w:sz w:val="21"/>
                <w:szCs w:val="21"/>
              </w:rPr>
            </w:pPr>
          </w:p>
        </w:tc>
        <w:tc>
          <w:tcPr>
            <w:tcW w:w="725" w:type="dxa"/>
            <w:vMerge w:val="continue"/>
            <w:vAlign w:val="center"/>
          </w:tcPr>
          <w:p>
            <w:pPr>
              <w:ind w:firstLine="0" w:firstLineChars="0"/>
              <w:jc w:val="left"/>
              <w:rPr>
                <w:rFonts w:ascii="宋体" w:hAnsi="宋体"/>
                <w:color w:val="000000"/>
                <w:kern w:val="1"/>
                <w:sz w:val="21"/>
                <w:szCs w:val="21"/>
              </w:rPr>
            </w:pPr>
          </w:p>
        </w:tc>
        <w:tc>
          <w:tcPr>
            <w:tcW w:w="592" w:type="dxa"/>
            <w:tcMar>
              <w:top w:w="15" w:type="dxa"/>
              <w:left w:w="15" w:type="dxa"/>
              <w:right w:w="15" w:type="dxa"/>
            </w:tcMar>
            <w:vAlign w:val="center"/>
          </w:tcPr>
          <w:p>
            <w:pPr>
              <w:numPr>
                <w:ilvl w:val="0"/>
                <w:numId w:val="3"/>
              </w:numPr>
              <w:spacing w:line="240" w:lineRule="auto"/>
              <w:ind w:firstLineChars="0"/>
              <w:jc w:val="center"/>
              <w:rPr>
                <w:rFonts w:ascii="宋体" w:hAnsi="宋体"/>
                <w:color w:val="000000"/>
                <w:kern w:val="1"/>
                <w:sz w:val="21"/>
                <w:szCs w:val="21"/>
              </w:rPr>
            </w:pPr>
          </w:p>
        </w:tc>
        <w:tc>
          <w:tcPr>
            <w:tcW w:w="7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自建</w:t>
            </w:r>
          </w:p>
        </w:tc>
        <w:tc>
          <w:tcPr>
            <w:tcW w:w="2410" w:type="dxa"/>
            <w:gridSpan w:val="2"/>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安全工程师培训课程</w:t>
            </w:r>
          </w:p>
        </w:tc>
        <w:tc>
          <w:tcPr>
            <w:tcW w:w="56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992"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非统设</w:t>
            </w:r>
          </w:p>
        </w:tc>
        <w:tc>
          <w:tcPr>
            <w:tcW w:w="709"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选修</w:t>
            </w:r>
          </w:p>
        </w:tc>
        <w:tc>
          <w:tcPr>
            <w:tcW w:w="54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5</w:t>
            </w:r>
          </w:p>
        </w:tc>
        <w:tc>
          <w:tcPr>
            <w:tcW w:w="1012"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分部</w:t>
            </w:r>
          </w:p>
        </w:tc>
      </w:tr>
    </w:tbl>
    <w:p>
      <w:pPr>
        <w:ind w:firstLine="0" w:firstLineChars="0"/>
        <w:jc w:val="center"/>
        <w:rPr>
          <w:rFonts w:ascii="宋体" w:hAnsi="宋体"/>
          <w:b/>
          <w:sz w:val="32"/>
          <w:szCs w:val="32"/>
        </w:rPr>
      </w:pPr>
      <w:r>
        <w:rPr>
          <w:rFonts w:hint="eastAsia" w:ascii="宋体" w:hAnsi="宋体"/>
          <w:b/>
          <w:sz w:val="32"/>
          <w:szCs w:val="32"/>
        </w:rPr>
        <w:t>资源</w:t>
      </w:r>
      <w:r>
        <w:rPr>
          <w:rFonts w:ascii="宋体" w:hAnsi="宋体"/>
          <w:b/>
          <w:sz w:val="32"/>
          <w:szCs w:val="32"/>
        </w:rPr>
        <w:t>环境与安全</w:t>
      </w:r>
      <w:r>
        <w:rPr>
          <w:rFonts w:hint="eastAsia" w:ascii="宋体" w:hAnsi="宋体"/>
          <w:b/>
          <w:sz w:val="32"/>
          <w:szCs w:val="32"/>
        </w:rPr>
        <w:t>大类安全类</w:t>
      </w:r>
    </w:p>
    <w:p>
      <w:pPr>
        <w:spacing w:afterLines="50"/>
        <w:ind w:firstLine="0" w:firstLineChars="0"/>
        <w:jc w:val="center"/>
        <w:rPr>
          <w:rFonts w:ascii="宋体" w:hAnsi="宋体"/>
          <w:b/>
          <w:sz w:val="21"/>
          <w:szCs w:val="22"/>
        </w:rPr>
      </w:pPr>
      <w:r>
        <w:rPr>
          <w:rFonts w:hint="eastAsia" w:ascii="宋体" w:hAnsi="宋体"/>
          <w:b/>
          <w:sz w:val="32"/>
          <w:szCs w:val="32"/>
        </w:rPr>
        <w:t>安全</w:t>
      </w:r>
      <w:r>
        <w:rPr>
          <w:rFonts w:ascii="宋体" w:hAnsi="宋体"/>
          <w:b/>
          <w:sz w:val="32"/>
          <w:szCs w:val="32"/>
        </w:rPr>
        <w:t>技术与管理</w:t>
      </w:r>
      <w:r>
        <w:rPr>
          <w:rFonts w:hint="eastAsia" w:ascii="宋体" w:hAnsi="宋体"/>
          <w:b/>
          <w:sz w:val="32"/>
          <w:szCs w:val="32"/>
        </w:rPr>
        <w:t>（专科）专业规则说明</w:t>
      </w:r>
    </w:p>
    <w:tbl>
      <w:tblPr>
        <w:tblStyle w:val="16"/>
        <w:tblW w:w="9371"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3"/>
        <w:gridCol w:w="708"/>
        <w:gridCol w:w="1025"/>
        <w:gridCol w:w="5794"/>
        <w:gridCol w:w="8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2726" w:type="dxa"/>
            <w:gridSpan w:val="3"/>
            <w:vAlign w:val="center"/>
          </w:tcPr>
          <w:p>
            <w:pPr>
              <w:ind w:firstLine="0" w:firstLineChars="0"/>
              <w:jc w:val="center"/>
              <w:rPr>
                <w:rFonts w:ascii="宋体" w:hAnsi="宋体"/>
                <w:b/>
                <w:color w:val="000000"/>
              </w:rPr>
            </w:pPr>
            <w:r>
              <w:rPr>
                <w:rFonts w:hint="eastAsia" w:ascii="宋体" w:hAnsi="宋体"/>
                <w:b/>
                <w:color w:val="000000"/>
              </w:rPr>
              <w:t>专业名称</w:t>
            </w:r>
          </w:p>
        </w:tc>
        <w:tc>
          <w:tcPr>
            <w:tcW w:w="6645" w:type="dxa"/>
            <w:gridSpan w:val="2"/>
            <w:vAlign w:val="center"/>
          </w:tcPr>
          <w:p>
            <w:pPr>
              <w:ind w:firstLine="0" w:firstLineChars="0"/>
              <w:jc w:val="center"/>
            </w:pPr>
            <w:r>
              <w:rPr>
                <w:rFonts w:hint="eastAsia" w:ascii="宋体" w:hAnsi="宋体"/>
                <w:b/>
                <w:color w:val="000000"/>
              </w:rPr>
              <w:t>安全技术</w:t>
            </w:r>
            <w:r>
              <w:rPr>
                <w:rFonts w:ascii="宋体" w:hAnsi="宋体"/>
                <w:b/>
                <w:color w:val="000000"/>
              </w:rPr>
              <w:t>与管理专业（</w:t>
            </w:r>
            <w:r>
              <w:rPr>
                <w:rFonts w:hint="eastAsia" w:ascii="宋体" w:hAnsi="宋体"/>
                <w:b/>
                <w:color w:val="000000"/>
              </w:rPr>
              <w:t>专科）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2" w:hRule="atLeast"/>
        </w:trPr>
        <w:tc>
          <w:tcPr>
            <w:tcW w:w="2726" w:type="dxa"/>
            <w:gridSpan w:val="3"/>
            <w:vAlign w:val="center"/>
          </w:tcPr>
          <w:p>
            <w:pPr>
              <w:ind w:firstLine="0" w:firstLineChars="0"/>
              <w:rPr>
                <w:rFonts w:ascii="Calibri" w:hAnsi="Calibri"/>
                <w:b/>
              </w:rPr>
            </w:pPr>
            <w:r>
              <w:rPr>
                <w:rFonts w:hint="eastAsia" w:ascii="Calibri" w:hAnsi="Calibri"/>
                <w:b/>
              </w:rPr>
              <w:t>一、招生对象</w:t>
            </w:r>
          </w:p>
        </w:tc>
        <w:tc>
          <w:tcPr>
            <w:tcW w:w="6645" w:type="dxa"/>
            <w:gridSpan w:val="2"/>
            <w:vAlign w:val="center"/>
          </w:tcPr>
          <w:p>
            <w:pPr>
              <w:ind w:firstLine="482"/>
              <w:jc w:val="left"/>
              <w:rPr>
                <w:rFonts w:ascii="Calibri" w:hAnsi="Calibri"/>
                <w:b/>
              </w:rPr>
            </w:pPr>
            <w:r>
              <w:rPr>
                <w:rFonts w:hint="eastAsia" w:ascii="Calibri" w:hAnsi="Calibri"/>
                <w:b/>
              </w:rPr>
              <w:t>具有高中学历（含同等学历）及以上学历者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836" w:hRule="atLeast"/>
        </w:trPr>
        <w:tc>
          <w:tcPr>
            <w:tcW w:w="993" w:type="dxa"/>
            <w:vMerge w:val="restart"/>
            <w:vAlign w:val="center"/>
          </w:tcPr>
          <w:p>
            <w:pPr>
              <w:spacing w:line="240" w:lineRule="auto"/>
              <w:ind w:firstLine="0" w:firstLineChars="0"/>
              <w:jc w:val="center"/>
              <w:rPr>
                <w:rFonts w:ascii="Calibri" w:hAnsi="Calibri"/>
                <w:b/>
              </w:rPr>
            </w:pPr>
            <w:r>
              <w:rPr>
                <w:rFonts w:hint="eastAsia" w:ascii="Calibri" w:hAnsi="Calibri"/>
                <w:b/>
              </w:rPr>
              <w:t>二、培养目标与要求</w:t>
            </w:r>
          </w:p>
        </w:tc>
        <w:tc>
          <w:tcPr>
            <w:tcW w:w="1733" w:type="dxa"/>
            <w:gridSpan w:val="2"/>
            <w:vAlign w:val="center"/>
          </w:tcPr>
          <w:p>
            <w:pPr>
              <w:spacing w:line="240" w:lineRule="auto"/>
              <w:ind w:firstLine="0" w:firstLineChars="0"/>
            </w:pPr>
            <w:r>
              <w:t>2.1  培养目标</w:t>
            </w:r>
          </w:p>
        </w:tc>
        <w:tc>
          <w:tcPr>
            <w:tcW w:w="6645" w:type="dxa"/>
            <w:gridSpan w:val="2"/>
            <w:vAlign w:val="center"/>
          </w:tcPr>
          <w:p>
            <w:pPr>
              <w:ind w:firstLine="420"/>
              <w:rPr>
                <w:rFonts w:ascii="宋体" w:hAnsi="宋体"/>
                <w:b/>
                <w:color w:val="FF0000"/>
                <w:kern w:val="0"/>
                <w:sz w:val="21"/>
                <w:szCs w:val="21"/>
              </w:rPr>
            </w:pPr>
            <w:r>
              <w:rPr>
                <w:rFonts w:hint="eastAsia" w:ascii="宋体" w:hAnsi="宋体"/>
                <w:kern w:val="0"/>
                <w:sz w:val="21"/>
                <w:szCs w:val="21"/>
              </w:rPr>
              <w:t>本</w:t>
            </w:r>
            <w:r>
              <w:rPr>
                <w:rFonts w:ascii="宋体" w:hAnsi="宋体"/>
                <w:kern w:val="0"/>
                <w:sz w:val="21"/>
                <w:szCs w:val="21"/>
              </w:rPr>
              <w:t>专业</w:t>
            </w:r>
            <w:r>
              <w:rPr>
                <w:rFonts w:hint="eastAsia" w:ascii="宋体" w:hAnsi="宋体"/>
                <w:kern w:val="0"/>
                <w:sz w:val="21"/>
                <w:szCs w:val="21"/>
              </w:rPr>
              <w:t>培养</w:t>
            </w:r>
            <w:r>
              <w:rPr>
                <w:rFonts w:ascii="宋体" w:hAnsi="宋体"/>
                <w:kern w:val="0"/>
                <w:sz w:val="21"/>
                <w:szCs w:val="21"/>
              </w:rPr>
              <w:t>面向生产、建设、管理一线</w:t>
            </w:r>
            <w:r>
              <w:rPr>
                <w:rFonts w:hint="eastAsia" w:ascii="宋体" w:hAnsi="宋体"/>
                <w:kern w:val="0"/>
                <w:sz w:val="21"/>
                <w:szCs w:val="21"/>
              </w:rPr>
              <w:t>，能</w:t>
            </w:r>
            <w:r>
              <w:rPr>
                <w:rFonts w:ascii="宋体" w:hAnsi="宋体"/>
                <w:kern w:val="0"/>
                <w:sz w:val="21"/>
                <w:szCs w:val="21"/>
              </w:rPr>
              <w:t>掌握安全科学、安全工程及技术的</w:t>
            </w:r>
            <w:r>
              <w:rPr>
                <w:rFonts w:hint="eastAsia" w:ascii="宋体" w:hAnsi="宋体"/>
                <w:kern w:val="0"/>
                <w:sz w:val="21"/>
                <w:szCs w:val="21"/>
              </w:rPr>
              <w:t>基础</w:t>
            </w:r>
            <w:r>
              <w:rPr>
                <w:rFonts w:ascii="宋体" w:hAnsi="宋体"/>
                <w:kern w:val="0"/>
                <w:sz w:val="21"/>
                <w:szCs w:val="21"/>
              </w:rPr>
              <w:t>理论知识，具有安全检测、安全评价、</w:t>
            </w:r>
            <w:r>
              <w:rPr>
                <w:rFonts w:hint="eastAsia" w:ascii="宋体" w:hAnsi="宋体"/>
                <w:kern w:val="0"/>
                <w:sz w:val="21"/>
                <w:szCs w:val="21"/>
              </w:rPr>
              <w:t>安全</w:t>
            </w:r>
            <w:r>
              <w:rPr>
                <w:rFonts w:ascii="宋体" w:hAnsi="宋体"/>
                <w:kern w:val="0"/>
                <w:sz w:val="21"/>
                <w:szCs w:val="21"/>
              </w:rPr>
              <w:t>管理</w:t>
            </w:r>
            <w:r>
              <w:rPr>
                <w:rFonts w:hint="eastAsia" w:ascii="宋体" w:hAnsi="宋体"/>
                <w:kern w:val="0"/>
                <w:sz w:val="21"/>
                <w:szCs w:val="21"/>
              </w:rPr>
              <w:t>等</w:t>
            </w:r>
            <w:r>
              <w:rPr>
                <w:rFonts w:ascii="宋体" w:hAnsi="宋体"/>
                <w:kern w:val="0"/>
                <w:sz w:val="21"/>
                <w:szCs w:val="21"/>
              </w:rPr>
              <w:t>安全核心能力的专业技术人</w:t>
            </w:r>
            <w:r>
              <w:rPr>
                <w:rFonts w:hint="eastAsia" w:ascii="宋体" w:hAnsi="宋体"/>
                <w:kern w:val="0"/>
                <w:sz w:val="21"/>
                <w:szCs w:val="21"/>
              </w:rPr>
              <w:t>才，</w:t>
            </w:r>
            <w:r>
              <w:rPr>
                <w:rFonts w:ascii="宋体" w:hAnsi="宋体"/>
                <w:kern w:val="0"/>
                <w:sz w:val="21"/>
                <w:szCs w:val="21"/>
              </w:rPr>
              <w:t>并具有时代创新精神和可持续发展的能力</w:t>
            </w:r>
            <w:r>
              <w:rPr>
                <w:rFonts w:hint="eastAsia" w:ascii="宋体" w:hAnsi="宋体"/>
                <w:kern w:val="0"/>
                <w:sz w:val="21"/>
                <w:szCs w:val="21"/>
              </w:rPr>
              <w:t>、</w:t>
            </w:r>
            <w:r>
              <w:rPr>
                <w:rFonts w:ascii="宋体" w:hAnsi="宋体"/>
                <w:kern w:val="0"/>
                <w:sz w:val="21"/>
                <w:szCs w:val="21"/>
              </w:rPr>
              <w:t>高素质</w:t>
            </w:r>
            <w:r>
              <w:rPr>
                <w:rFonts w:hint="eastAsia" w:ascii="宋体" w:hAnsi="宋体"/>
                <w:kern w:val="0"/>
                <w:sz w:val="21"/>
                <w:szCs w:val="21"/>
              </w:rPr>
              <w:t>的</w:t>
            </w:r>
            <w:r>
              <w:rPr>
                <w:rFonts w:ascii="宋体" w:hAnsi="宋体"/>
                <w:kern w:val="0"/>
                <w:sz w:val="21"/>
                <w:szCs w:val="21"/>
              </w:rPr>
              <w:t>技术应用型人才。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71" w:hRule="atLeast"/>
        </w:trPr>
        <w:tc>
          <w:tcPr>
            <w:tcW w:w="993" w:type="dxa"/>
            <w:vMerge w:val="continue"/>
            <w:vAlign w:val="center"/>
          </w:tcPr>
          <w:p>
            <w:pPr>
              <w:spacing w:line="280" w:lineRule="exact"/>
              <w:ind w:firstLine="0" w:firstLineChars="0"/>
              <w:rPr>
                <w:rFonts w:ascii="Calibri" w:hAnsi="Calibri"/>
              </w:rPr>
            </w:pPr>
          </w:p>
        </w:tc>
        <w:tc>
          <w:tcPr>
            <w:tcW w:w="1733" w:type="dxa"/>
            <w:gridSpan w:val="2"/>
            <w:vAlign w:val="center"/>
          </w:tcPr>
          <w:p>
            <w:pPr>
              <w:spacing w:line="240" w:lineRule="auto"/>
              <w:ind w:firstLine="0" w:firstLineChars="0"/>
            </w:pPr>
            <w:r>
              <w:t>2.2  培养要求</w:t>
            </w:r>
          </w:p>
        </w:tc>
        <w:tc>
          <w:tcPr>
            <w:tcW w:w="6645" w:type="dxa"/>
            <w:gridSpan w:val="2"/>
            <w:vAlign w:val="center"/>
          </w:tcPr>
          <w:p>
            <w:pPr>
              <w:ind w:firstLine="420"/>
              <w:rPr>
                <w:rFonts w:ascii="宋体" w:hAnsi="宋体"/>
                <w:kern w:val="0"/>
                <w:sz w:val="21"/>
                <w:szCs w:val="21"/>
              </w:rPr>
            </w:pPr>
            <w:r>
              <w:rPr>
                <w:rFonts w:ascii="宋体" w:hAnsi="宋体"/>
                <w:sz w:val="21"/>
                <w:szCs w:val="21"/>
              </w:rPr>
              <w:t>1</w:t>
            </w:r>
            <w:r>
              <w:rPr>
                <w:rFonts w:ascii="宋体" w:hAnsi="宋体"/>
                <w:kern w:val="0"/>
                <w:sz w:val="21"/>
                <w:szCs w:val="21"/>
              </w:rPr>
              <w:t>. 政治思想方面：拥护党的基本路线，热爱祖国，具有全心全意为人民服务精神，遵纪守法，有良好的社会公共道德和职业道德。</w:t>
            </w:r>
          </w:p>
          <w:p>
            <w:pPr>
              <w:ind w:firstLine="420"/>
              <w:rPr>
                <w:rFonts w:ascii="宋体" w:hAnsi="宋体"/>
                <w:kern w:val="0"/>
                <w:sz w:val="21"/>
                <w:szCs w:val="21"/>
              </w:rPr>
            </w:pPr>
            <w:r>
              <w:rPr>
                <w:rFonts w:ascii="宋体" w:hAnsi="宋体"/>
                <w:kern w:val="0"/>
                <w:sz w:val="21"/>
                <w:szCs w:val="21"/>
              </w:rPr>
              <w:t>2. 能力方面：较强的计划、组织、协调和与他人沟通、合作能力；具有吃苦耐劳的敬业精神、开拓进取和求实创新的能力；具有服从领导意识和承受社会压力的能力；具有较强的口语与书面表达能力。</w:t>
            </w:r>
          </w:p>
          <w:p>
            <w:pPr>
              <w:ind w:firstLine="420"/>
              <w:rPr>
                <w:rFonts w:ascii="宋体" w:hAnsi="宋体"/>
                <w:kern w:val="0"/>
                <w:sz w:val="21"/>
                <w:szCs w:val="21"/>
              </w:rPr>
            </w:pPr>
            <w:r>
              <w:rPr>
                <w:rFonts w:ascii="宋体" w:hAnsi="宋体"/>
                <w:kern w:val="0"/>
                <w:sz w:val="21"/>
                <w:szCs w:val="21"/>
              </w:rPr>
              <w:t>3. 文化知识方面：具有高中及以上文化基础知识、语言及应用写作基础知识、计算机基础知识，具有一定的外语水平。</w:t>
            </w:r>
          </w:p>
          <w:p>
            <w:pPr>
              <w:ind w:firstLine="420"/>
              <w:rPr>
                <w:rFonts w:ascii="宋体" w:hAnsi="宋体"/>
                <w:sz w:val="21"/>
                <w:szCs w:val="21"/>
              </w:rPr>
            </w:pPr>
            <w:r>
              <w:rPr>
                <w:rFonts w:ascii="宋体" w:hAnsi="宋体"/>
                <w:kern w:val="0"/>
                <w:sz w:val="21"/>
                <w:szCs w:val="21"/>
              </w:rPr>
              <w:t>4. 专业/职业技能方面</w:t>
            </w:r>
            <w:r>
              <w:rPr>
                <w:rFonts w:hint="eastAsia" w:ascii="宋体" w:hAnsi="宋体"/>
                <w:kern w:val="0"/>
                <w:sz w:val="21"/>
                <w:szCs w:val="21"/>
              </w:rPr>
              <w:t>：</w:t>
            </w:r>
            <w:r>
              <w:rPr>
                <w:rFonts w:ascii="宋体" w:hAnsi="宋体"/>
                <w:kern w:val="0"/>
                <w:sz w:val="21"/>
                <w:szCs w:val="21"/>
              </w:rPr>
              <w:t>在掌握我国安全生产法律法规的基础上，按照</w:t>
            </w:r>
            <w:r>
              <w:rPr>
                <w:rFonts w:hint="eastAsia" w:ascii="宋体" w:hAnsi="宋体"/>
                <w:kern w:val="0"/>
                <w:sz w:val="21"/>
                <w:szCs w:val="21"/>
              </w:rPr>
              <w:t>安全系统</w:t>
            </w:r>
            <w:r>
              <w:rPr>
                <w:rFonts w:ascii="宋体" w:hAnsi="宋体"/>
                <w:kern w:val="0"/>
                <w:sz w:val="21"/>
                <w:szCs w:val="21"/>
              </w:rPr>
              <w:t>工程原理、劳动安全科学管理方法和现代安全生产管理的理论及方法，结合具体的生产技术</w:t>
            </w:r>
            <w:r>
              <w:rPr>
                <w:rFonts w:hint="eastAsia" w:ascii="宋体" w:hAnsi="宋体"/>
                <w:kern w:val="0"/>
                <w:sz w:val="21"/>
                <w:szCs w:val="21"/>
              </w:rPr>
              <w:t>，</w:t>
            </w:r>
            <w:r>
              <w:rPr>
                <w:rFonts w:ascii="宋体" w:hAnsi="宋体"/>
                <w:kern w:val="0"/>
                <w:sz w:val="21"/>
                <w:szCs w:val="21"/>
              </w:rPr>
              <w:t>运用安全评价理论与技术、安全检测技术进行安全评价、监测与监督、预防控制与技术管理</w:t>
            </w:r>
            <w:r>
              <w:rPr>
                <w:rFonts w:hint="eastAsia" w:ascii="宋体" w:hAnsi="宋体"/>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2" w:hRule="atLeast"/>
        </w:trPr>
        <w:tc>
          <w:tcPr>
            <w:tcW w:w="993" w:type="dxa"/>
            <w:vMerge w:val="restart"/>
            <w:vAlign w:val="center"/>
          </w:tcPr>
          <w:p>
            <w:pPr>
              <w:spacing w:line="240" w:lineRule="auto"/>
              <w:ind w:firstLine="0" w:firstLineChars="0"/>
              <w:rPr>
                <w:rFonts w:ascii="Calibri" w:hAnsi="Calibri"/>
                <w:b/>
              </w:rPr>
            </w:pPr>
            <w:r>
              <w:rPr>
                <w:rFonts w:hint="eastAsia" w:ascii="Calibri" w:hAnsi="Calibri"/>
                <w:b/>
              </w:rPr>
              <w:t>三、培养规格</w:t>
            </w:r>
          </w:p>
        </w:tc>
        <w:tc>
          <w:tcPr>
            <w:tcW w:w="1733" w:type="dxa"/>
            <w:gridSpan w:val="2"/>
            <w:vAlign w:val="center"/>
          </w:tcPr>
          <w:p>
            <w:pPr>
              <w:spacing w:line="240" w:lineRule="auto"/>
              <w:ind w:firstLine="0" w:firstLineChars="0"/>
              <w:jc w:val="left"/>
            </w:pPr>
            <w:r>
              <w:t>3.1层次</w:t>
            </w:r>
          </w:p>
        </w:tc>
        <w:tc>
          <w:tcPr>
            <w:tcW w:w="6645" w:type="dxa"/>
            <w:gridSpan w:val="2"/>
            <w:vAlign w:val="center"/>
          </w:tcPr>
          <w:p>
            <w:pPr>
              <w:ind w:firstLine="420"/>
              <w:rPr>
                <w:rFonts w:ascii="宋体" w:hAnsi="宋体"/>
                <w:sz w:val="21"/>
                <w:szCs w:val="21"/>
                <w:highlight w:val="yellow"/>
              </w:rPr>
            </w:pPr>
            <w:r>
              <w:rPr>
                <w:rFonts w:ascii="宋体" w:hAnsi="宋体"/>
                <w:kern w:val="0"/>
                <w:sz w:val="21"/>
                <w:szCs w:val="21"/>
              </w:rPr>
              <w:t>专科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trPr>
        <w:tc>
          <w:tcPr>
            <w:tcW w:w="993" w:type="dxa"/>
            <w:vMerge w:val="continue"/>
            <w:vAlign w:val="center"/>
          </w:tcPr>
          <w:p>
            <w:pPr>
              <w:spacing w:line="280" w:lineRule="exact"/>
              <w:ind w:firstLine="0" w:firstLineChars="0"/>
              <w:rPr>
                <w:rFonts w:ascii="Calibri" w:hAnsi="Calibri"/>
                <w:b/>
              </w:rPr>
            </w:pPr>
          </w:p>
        </w:tc>
        <w:tc>
          <w:tcPr>
            <w:tcW w:w="1733" w:type="dxa"/>
            <w:gridSpan w:val="2"/>
            <w:vAlign w:val="center"/>
          </w:tcPr>
          <w:p>
            <w:pPr>
              <w:spacing w:line="240" w:lineRule="auto"/>
              <w:ind w:firstLine="0" w:firstLineChars="0"/>
              <w:jc w:val="left"/>
            </w:pPr>
            <w:r>
              <w:t>3.2学制</w:t>
            </w:r>
          </w:p>
        </w:tc>
        <w:tc>
          <w:tcPr>
            <w:tcW w:w="6645" w:type="dxa"/>
            <w:gridSpan w:val="2"/>
            <w:vAlign w:val="center"/>
          </w:tcPr>
          <w:p>
            <w:pPr>
              <w:ind w:firstLine="420"/>
              <w:rPr>
                <w:rFonts w:ascii="宋体" w:hAnsi="宋体"/>
                <w:sz w:val="21"/>
                <w:szCs w:val="21"/>
              </w:rPr>
            </w:pPr>
            <w:r>
              <w:rPr>
                <w:rFonts w:hint="eastAsia" w:ascii="宋体" w:hAnsi="宋体"/>
                <w:kern w:val="0"/>
                <w:sz w:val="21"/>
                <w:szCs w:val="21"/>
              </w:rPr>
              <w:t>两年制三年业余学习，最短学习年限不低于两年半。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trPr>
        <w:tc>
          <w:tcPr>
            <w:tcW w:w="993" w:type="dxa"/>
            <w:vMerge w:val="continue"/>
            <w:vAlign w:val="center"/>
          </w:tcPr>
          <w:p>
            <w:pPr>
              <w:spacing w:line="280" w:lineRule="exact"/>
              <w:ind w:firstLine="0" w:firstLineChars="0"/>
              <w:rPr>
                <w:rFonts w:ascii="Calibri" w:hAnsi="Calibri"/>
                <w:b/>
              </w:rPr>
            </w:pPr>
          </w:p>
        </w:tc>
        <w:tc>
          <w:tcPr>
            <w:tcW w:w="1733" w:type="dxa"/>
            <w:gridSpan w:val="2"/>
            <w:vAlign w:val="center"/>
          </w:tcPr>
          <w:p>
            <w:pPr>
              <w:spacing w:line="240" w:lineRule="auto"/>
              <w:ind w:firstLine="0" w:firstLineChars="0"/>
              <w:jc w:val="left"/>
            </w:pPr>
            <w:r>
              <w:t>3.3学分</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最低毕业学分76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993" w:type="dxa"/>
            <w:vMerge w:val="restart"/>
            <w:vAlign w:val="center"/>
          </w:tcPr>
          <w:p>
            <w:pPr>
              <w:spacing w:line="240" w:lineRule="auto"/>
              <w:ind w:firstLine="0" w:firstLineChars="0"/>
              <w:rPr>
                <w:b/>
              </w:rPr>
            </w:pPr>
            <w:r>
              <w:rPr>
                <w:b/>
              </w:rPr>
              <w:t>四、就业面向和职业生涯发</w:t>
            </w:r>
          </w:p>
          <w:p>
            <w:pPr>
              <w:spacing w:line="240" w:lineRule="auto"/>
              <w:ind w:firstLine="0" w:firstLineChars="0"/>
              <w:rPr>
                <w:b/>
              </w:rPr>
            </w:pPr>
            <w:r>
              <w:rPr>
                <w:b/>
              </w:rPr>
              <w:t>展</w:t>
            </w:r>
          </w:p>
        </w:tc>
        <w:tc>
          <w:tcPr>
            <w:tcW w:w="1733" w:type="dxa"/>
            <w:gridSpan w:val="2"/>
            <w:vAlign w:val="center"/>
          </w:tcPr>
          <w:p>
            <w:pPr>
              <w:spacing w:line="240" w:lineRule="auto"/>
              <w:ind w:firstLine="0" w:firstLineChars="0"/>
            </w:pPr>
            <w:r>
              <w:t>4.1就业面向</w:t>
            </w:r>
          </w:p>
        </w:tc>
        <w:tc>
          <w:tcPr>
            <w:tcW w:w="6645" w:type="dxa"/>
            <w:gridSpan w:val="2"/>
            <w:vAlign w:val="center"/>
          </w:tcPr>
          <w:p>
            <w:pPr>
              <w:spacing w:beforeLines="50" w:line="384" w:lineRule="auto"/>
              <w:ind w:firstLine="420"/>
              <w:rPr>
                <w:rFonts w:ascii="宋体" w:hAnsi="宋体"/>
                <w:kern w:val="0"/>
                <w:sz w:val="21"/>
                <w:szCs w:val="21"/>
              </w:rPr>
            </w:pPr>
            <w:r>
              <w:rPr>
                <w:rFonts w:ascii="宋体" w:hAnsi="宋体"/>
                <w:kern w:val="0"/>
                <w:sz w:val="21"/>
                <w:szCs w:val="21"/>
              </w:rPr>
              <w:t>行业领域：</w:t>
            </w:r>
            <w:r>
              <w:rPr>
                <w:rFonts w:hint="eastAsia" w:ascii="宋体" w:hAnsi="宋体"/>
                <w:kern w:val="0"/>
                <w:sz w:val="21"/>
                <w:szCs w:val="21"/>
              </w:rPr>
              <w:t>各</w:t>
            </w:r>
            <w:r>
              <w:rPr>
                <w:rFonts w:ascii="宋体" w:hAnsi="宋体"/>
                <w:kern w:val="0"/>
                <w:sz w:val="21"/>
                <w:szCs w:val="21"/>
              </w:rPr>
              <w:t>企事业单位</w:t>
            </w:r>
          </w:p>
          <w:p>
            <w:pPr>
              <w:spacing w:line="384" w:lineRule="auto"/>
              <w:ind w:firstLine="420"/>
              <w:rPr>
                <w:rFonts w:ascii="宋体" w:hAnsi="宋体"/>
                <w:kern w:val="0"/>
                <w:sz w:val="21"/>
                <w:szCs w:val="21"/>
              </w:rPr>
            </w:pPr>
            <w:r>
              <w:rPr>
                <w:rFonts w:ascii="宋体" w:hAnsi="宋体"/>
                <w:kern w:val="0"/>
                <w:sz w:val="21"/>
                <w:szCs w:val="21"/>
              </w:rPr>
              <w:t>职业：</w:t>
            </w:r>
            <w:r>
              <w:rPr>
                <w:rFonts w:hint="eastAsia" w:ascii="宋体" w:hAnsi="宋体"/>
                <w:kern w:val="0"/>
                <w:sz w:val="21"/>
                <w:szCs w:val="21"/>
              </w:rPr>
              <w:t>安全</w:t>
            </w:r>
            <w:r>
              <w:rPr>
                <w:rFonts w:ascii="宋体" w:hAnsi="宋体"/>
                <w:kern w:val="0"/>
                <w:sz w:val="21"/>
                <w:szCs w:val="21"/>
              </w:rPr>
              <w:t>监察员、</w:t>
            </w:r>
            <w:r>
              <w:rPr>
                <w:rFonts w:hint="eastAsia" w:ascii="宋体" w:hAnsi="宋体"/>
                <w:kern w:val="0"/>
                <w:sz w:val="21"/>
                <w:szCs w:val="21"/>
              </w:rPr>
              <w:t>安全</w:t>
            </w:r>
            <w:r>
              <w:rPr>
                <w:rFonts w:ascii="宋体" w:hAnsi="宋体"/>
                <w:kern w:val="0"/>
                <w:sz w:val="21"/>
                <w:szCs w:val="21"/>
              </w:rPr>
              <w:t>技术员、安全评价员、职业</w:t>
            </w:r>
            <w:r>
              <w:rPr>
                <w:rFonts w:hint="eastAsia" w:ascii="宋体" w:hAnsi="宋体"/>
                <w:kern w:val="0"/>
                <w:sz w:val="21"/>
                <w:szCs w:val="21"/>
              </w:rPr>
              <w:t>健康</w:t>
            </w:r>
            <w:r>
              <w:rPr>
                <w:rFonts w:ascii="宋体" w:hAnsi="宋体"/>
                <w:kern w:val="0"/>
                <w:sz w:val="21"/>
                <w:szCs w:val="21"/>
              </w:rPr>
              <w:t>安全体系</w:t>
            </w:r>
            <w:r>
              <w:rPr>
                <w:rFonts w:hint="eastAsia" w:ascii="宋体" w:hAnsi="宋体"/>
                <w:kern w:val="0"/>
                <w:sz w:val="21"/>
                <w:szCs w:val="21"/>
              </w:rPr>
              <w:t>内人员</w:t>
            </w:r>
            <w:r>
              <w:rPr>
                <w:rFonts w:ascii="宋体" w:hAnsi="宋体"/>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01" w:hRule="atLeast"/>
        </w:trPr>
        <w:tc>
          <w:tcPr>
            <w:tcW w:w="993" w:type="dxa"/>
            <w:vMerge w:val="continue"/>
            <w:vAlign w:val="center"/>
          </w:tcPr>
          <w:p>
            <w:pPr>
              <w:spacing w:line="280" w:lineRule="exact"/>
              <w:ind w:firstLine="0" w:firstLineChars="0"/>
            </w:pPr>
          </w:p>
        </w:tc>
        <w:tc>
          <w:tcPr>
            <w:tcW w:w="1733" w:type="dxa"/>
            <w:gridSpan w:val="2"/>
            <w:vAlign w:val="center"/>
          </w:tcPr>
          <w:p>
            <w:pPr>
              <w:spacing w:line="240" w:lineRule="auto"/>
              <w:ind w:firstLine="0" w:firstLineChars="0"/>
            </w:pPr>
            <w:r>
              <w:t>4.2 职业生涯发展</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1. 职业等级提升</w:t>
            </w:r>
          </w:p>
          <w:p>
            <w:pPr>
              <w:ind w:firstLine="420"/>
              <w:rPr>
                <w:rFonts w:ascii="宋体" w:hAnsi="宋体"/>
                <w:kern w:val="0"/>
                <w:sz w:val="21"/>
                <w:szCs w:val="21"/>
              </w:rPr>
            </w:pPr>
            <w:r>
              <w:rPr>
                <w:rFonts w:ascii="宋体" w:hAnsi="宋体"/>
                <w:kern w:val="0"/>
                <w:sz w:val="21"/>
                <w:szCs w:val="21"/>
              </w:rPr>
              <w:t>本专业毕业的学生，通过进一步学习深造，</w:t>
            </w:r>
            <w:r>
              <w:rPr>
                <w:rFonts w:hint="eastAsia" w:ascii="宋体" w:hAnsi="宋体"/>
                <w:kern w:val="0"/>
                <w:sz w:val="21"/>
                <w:szCs w:val="21"/>
              </w:rPr>
              <w:t>可以参加</w:t>
            </w:r>
            <w:r>
              <w:fldChar w:fldCharType="begin"/>
            </w:r>
            <w:r>
              <w:instrText xml:space="preserve"> HYPERLINK "http://baike.baidu.com/view/2318724.htm" </w:instrText>
            </w:r>
            <w:r>
              <w:fldChar w:fldCharType="separate"/>
            </w:r>
            <w:r>
              <w:rPr>
                <w:rFonts w:ascii="宋体" w:hAnsi="宋体"/>
                <w:kern w:val="0"/>
                <w:sz w:val="21"/>
                <w:szCs w:val="21"/>
              </w:rPr>
              <w:t>注册助理安全工程师</w:t>
            </w:r>
            <w:r>
              <w:rPr>
                <w:rFonts w:ascii="宋体" w:hAnsi="宋体"/>
                <w:kern w:val="0"/>
                <w:sz w:val="21"/>
                <w:szCs w:val="21"/>
              </w:rPr>
              <w:fldChar w:fldCharType="end"/>
            </w:r>
            <w:r>
              <w:rPr>
                <w:rFonts w:hint="eastAsia" w:ascii="宋体" w:hAnsi="宋体"/>
                <w:kern w:val="0"/>
                <w:sz w:val="21"/>
                <w:szCs w:val="21"/>
              </w:rPr>
              <w:t>、</w:t>
            </w:r>
            <w:r>
              <w:fldChar w:fldCharType="begin"/>
            </w:r>
            <w:r>
              <w:instrText xml:space="preserve"> HYPERLINK "http://baike.baidu.com/view/274896.htm" </w:instrText>
            </w:r>
            <w:r>
              <w:fldChar w:fldCharType="separate"/>
            </w:r>
            <w:r>
              <w:rPr>
                <w:rFonts w:ascii="宋体" w:hAnsi="宋体"/>
                <w:kern w:val="0"/>
                <w:sz w:val="21"/>
                <w:szCs w:val="21"/>
              </w:rPr>
              <w:t>注册安全工程师</w:t>
            </w:r>
            <w:r>
              <w:rPr>
                <w:rFonts w:ascii="宋体" w:hAnsi="宋体"/>
                <w:kern w:val="0"/>
                <w:sz w:val="21"/>
                <w:szCs w:val="21"/>
              </w:rPr>
              <w:fldChar w:fldCharType="end"/>
            </w:r>
            <w:r>
              <w:rPr>
                <w:rFonts w:hint="eastAsia" w:ascii="宋体" w:hAnsi="宋体"/>
                <w:kern w:val="0"/>
                <w:sz w:val="21"/>
                <w:szCs w:val="21"/>
              </w:rPr>
              <w:t>、</w:t>
            </w:r>
            <w:r>
              <w:rPr>
                <w:rFonts w:ascii="宋体" w:hAnsi="宋体"/>
                <w:kern w:val="0"/>
                <w:sz w:val="21"/>
                <w:szCs w:val="21"/>
              </w:rPr>
              <w:t>注册</w:t>
            </w:r>
            <w:r>
              <w:fldChar w:fldCharType="begin"/>
            </w:r>
            <w:r>
              <w:instrText xml:space="preserve"> HYPERLINK "http://baike.baidu.com/view/1333791.htm" </w:instrText>
            </w:r>
            <w:r>
              <w:fldChar w:fldCharType="separate"/>
            </w:r>
            <w:r>
              <w:rPr>
                <w:rFonts w:ascii="宋体" w:hAnsi="宋体"/>
                <w:kern w:val="0"/>
                <w:sz w:val="21"/>
                <w:szCs w:val="21"/>
              </w:rPr>
              <w:t>安全评价师</w:t>
            </w:r>
            <w:r>
              <w:rPr>
                <w:rFonts w:ascii="宋体" w:hAnsi="宋体"/>
                <w:kern w:val="0"/>
                <w:sz w:val="21"/>
                <w:szCs w:val="21"/>
              </w:rPr>
              <w:fldChar w:fldCharType="end"/>
            </w:r>
            <w:r>
              <w:rPr>
                <w:rFonts w:hint="eastAsia" w:ascii="宋体" w:hAnsi="宋体"/>
                <w:kern w:val="0"/>
                <w:sz w:val="21"/>
                <w:szCs w:val="21"/>
              </w:rPr>
              <w:t>、</w:t>
            </w:r>
            <w:r>
              <w:rPr>
                <w:rFonts w:ascii="宋体" w:hAnsi="宋体"/>
                <w:kern w:val="0"/>
                <w:sz w:val="21"/>
                <w:szCs w:val="21"/>
              </w:rPr>
              <w:t>注册</w:t>
            </w:r>
            <w:r>
              <w:rPr>
                <w:rFonts w:hint="eastAsia" w:ascii="宋体" w:hAnsi="宋体"/>
                <w:kern w:val="0"/>
                <w:sz w:val="21"/>
                <w:szCs w:val="21"/>
              </w:rPr>
              <w:t>消防工</w:t>
            </w:r>
            <w:r>
              <w:rPr>
                <w:rFonts w:ascii="宋体" w:hAnsi="宋体"/>
                <w:kern w:val="0"/>
                <w:sz w:val="21"/>
                <w:szCs w:val="21"/>
              </w:rPr>
              <w:t>程师</w:t>
            </w:r>
            <w:r>
              <w:rPr>
                <w:rFonts w:hint="eastAsia" w:ascii="宋体" w:hAnsi="宋体"/>
                <w:kern w:val="0"/>
                <w:sz w:val="21"/>
                <w:szCs w:val="21"/>
              </w:rPr>
              <w:t>等资格证书考试</w:t>
            </w:r>
            <w:r>
              <w:rPr>
                <w:rFonts w:ascii="宋体" w:hAnsi="宋体"/>
                <w:kern w:val="0"/>
                <w:sz w:val="21"/>
                <w:szCs w:val="21"/>
              </w:rPr>
              <w:t>。</w:t>
            </w:r>
          </w:p>
          <w:p>
            <w:pPr>
              <w:ind w:firstLine="420"/>
              <w:rPr>
                <w:rFonts w:ascii="宋体" w:hAnsi="宋体"/>
                <w:kern w:val="0"/>
                <w:sz w:val="21"/>
                <w:szCs w:val="21"/>
              </w:rPr>
            </w:pPr>
            <w:r>
              <w:rPr>
                <w:rFonts w:ascii="宋体" w:hAnsi="宋体"/>
                <w:kern w:val="0"/>
                <w:sz w:val="21"/>
                <w:szCs w:val="21"/>
              </w:rPr>
              <w:t>2. 职业岗位发展</w:t>
            </w:r>
          </w:p>
          <w:p>
            <w:pPr>
              <w:ind w:firstLine="420"/>
              <w:rPr>
                <w:rFonts w:ascii="宋体" w:hAnsi="宋体"/>
                <w:kern w:val="0"/>
                <w:sz w:val="21"/>
                <w:szCs w:val="21"/>
              </w:rPr>
            </w:pPr>
            <w:r>
              <w:rPr>
                <w:rFonts w:ascii="宋体" w:hAnsi="宋体"/>
                <w:kern w:val="0"/>
                <w:sz w:val="21"/>
                <w:szCs w:val="21"/>
              </w:rPr>
              <w:t>本专业毕业</w:t>
            </w:r>
            <w:r>
              <w:rPr>
                <w:rFonts w:hint="eastAsia" w:ascii="宋体" w:hAnsi="宋体"/>
                <w:kern w:val="0"/>
                <w:sz w:val="21"/>
                <w:szCs w:val="21"/>
              </w:rPr>
              <w:t>的</w:t>
            </w:r>
            <w:r>
              <w:rPr>
                <w:rFonts w:ascii="宋体" w:hAnsi="宋体"/>
                <w:kern w:val="0"/>
                <w:sz w:val="21"/>
                <w:szCs w:val="21"/>
              </w:rPr>
              <w:t>学生，</w:t>
            </w:r>
            <w:r>
              <w:rPr>
                <w:rFonts w:hint="eastAsia" w:ascii="宋体" w:hAnsi="宋体"/>
                <w:kern w:val="0"/>
                <w:sz w:val="21"/>
                <w:szCs w:val="21"/>
              </w:rPr>
              <w:t>通过能力的提升和工作经验的积累</w:t>
            </w:r>
            <w:r>
              <w:rPr>
                <w:rFonts w:ascii="宋体" w:hAnsi="宋体"/>
                <w:kern w:val="0"/>
                <w:sz w:val="21"/>
                <w:szCs w:val="21"/>
              </w:rPr>
              <w:t>，可以从事一般企业安全管理员、安全评价员、公路施工企业安全管理员、交通运输企业安全管理员、风险评估员、建筑消防安全管理员</w:t>
            </w:r>
            <w:r>
              <w:rPr>
                <w:rFonts w:hint="eastAsia" w:ascii="宋体" w:hAnsi="宋体"/>
                <w:kern w:val="0"/>
                <w:sz w:val="21"/>
                <w:szCs w:val="21"/>
              </w:rPr>
              <w:t>等工作</w:t>
            </w:r>
            <w:r>
              <w:rPr>
                <w:rFonts w:ascii="宋体" w:hAnsi="宋体"/>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6" w:hRule="atLeast"/>
        </w:trPr>
        <w:tc>
          <w:tcPr>
            <w:tcW w:w="993" w:type="dxa"/>
            <w:vMerge w:val="restart"/>
            <w:vAlign w:val="center"/>
          </w:tcPr>
          <w:p>
            <w:pPr>
              <w:ind w:firstLine="0" w:firstLineChars="0"/>
              <w:rPr>
                <w:b/>
              </w:rPr>
            </w:pPr>
            <w:r>
              <w:rPr>
                <w:b/>
              </w:rPr>
              <w:t>五、知识、能力结构及其支撑课程（活动）</w:t>
            </w:r>
          </w:p>
        </w:tc>
        <w:tc>
          <w:tcPr>
            <w:tcW w:w="1733" w:type="dxa"/>
            <w:gridSpan w:val="2"/>
            <w:tcBorders>
              <w:bottom w:val="single" w:color="auto" w:sz="8" w:space="0"/>
            </w:tcBorders>
            <w:vAlign w:val="center"/>
          </w:tcPr>
          <w:p>
            <w:pPr>
              <w:spacing w:line="240" w:lineRule="auto"/>
              <w:ind w:firstLine="0" w:firstLineChars="0"/>
              <w:jc w:val="center"/>
              <w:rPr>
                <w:b/>
              </w:rPr>
            </w:pPr>
            <w:r>
              <w:rPr>
                <w:b/>
              </w:rPr>
              <w:t>类型</w:t>
            </w:r>
          </w:p>
        </w:tc>
        <w:tc>
          <w:tcPr>
            <w:tcW w:w="5794" w:type="dxa"/>
            <w:vAlign w:val="center"/>
          </w:tcPr>
          <w:p>
            <w:pPr>
              <w:ind w:firstLine="0" w:firstLineChars="0"/>
              <w:jc w:val="center"/>
              <w:rPr>
                <w:b/>
              </w:rPr>
            </w:pPr>
            <w:r>
              <w:rPr>
                <w:b/>
              </w:rPr>
              <w:t>内容描述</w:t>
            </w:r>
          </w:p>
        </w:tc>
        <w:tc>
          <w:tcPr>
            <w:tcW w:w="851" w:type="dxa"/>
            <w:vAlign w:val="center"/>
          </w:tcPr>
          <w:p>
            <w:pPr>
              <w:spacing w:line="240" w:lineRule="auto"/>
              <w:ind w:firstLine="0" w:firstLineChars="0"/>
              <w:jc w:val="left"/>
              <w:rPr>
                <w:b/>
              </w:rPr>
            </w:pPr>
            <w:r>
              <w:rPr>
                <w:b/>
              </w:rPr>
              <w:t>支撑课程或活动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93" w:type="dxa"/>
            <w:vMerge w:val="continue"/>
            <w:vAlign w:val="center"/>
          </w:tcPr>
          <w:p>
            <w:pPr>
              <w:ind w:firstLine="0" w:firstLineChars="0"/>
            </w:pPr>
          </w:p>
        </w:tc>
        <w:tc>
          <w:tcPr>
            <w:tcW w:w="1733" w:type="dxa"/>
            <w:gridSpan w:val="2"/>
            <w:vMerge w:val="restart"/>
            <w:tcBorders>
              <w:top w:val="single" w:color="auto" w:sz="8" w:space="0"/>
              <w:bottom w:val="single" w:color="auto" w:sz="12" w:space="0"/>
            </w:tcBorders>
            <w:vAlign w:val="center"/>
          </w:tcPr>
          <w:p>
            <w:pPr>
              <w:spacing w:line="240" w:lineRule="auto"/>
              <w:ind w:firstLine="0" w:firstLineChars="0"/>
            </w:pPr>
            <w:r>
              <w:t>5.1</w:t>
            </w:r>
            <w:r>
              <w:rPr>
                <w:rFonts w:hint="eastAsia"/>
              </w:rPr>
              <w:t>公共</w:t>
            </w:r>
            <w:r>
              <w:t>基础</w:t>
            </w:r>
            <w:r>
              <w:rPr>
                <w:rFonts w:hint="eastAsia"/>
              </w:rPr>
              <w:t>课</w:t>
            </w:r>
          </w:p>
        </w:tc>
        <w:tc>
          <w:tcPr>
            <w:tcW w:w="5794" w:type="dxa"/>
            <w:tcBorders>
              <w:bottom w:val="single" w:color="auto" w:sz="8" w:space="0"/>
            </w:tcBorders>
            <w:vAlign w:val="center"/>
          </w:tcPr>
          <w:p>
            <w:pPr>
              <w:ind w:firstLine="420"/>
              <w:rPr>
                <w:rFonts w:ascii="宋体" w:hAnsi="宋体"/>
                <w:kern w:val="0"/>
                <w:sz w:val="21"/>
                <w:szCs w:val="21"/>
              </w:rPr>
            </w:pPr>
            <w:r>
              <w:rPr>
                <w:rFonts w:ascii="宋体" w:hAnsi="宋体"/>
                <w:kern w:val="0"/>
                <w:sz w:val="21"/>
                <w:szCs w:val="21"/>
              </w:rPr>
              <w:t xml:space="preserve">1. </w:t>
            </w:r>
            <w:r>
              <w:rPr>
                <w:rFonts w:hint="eastAsia" w:ascii="宋体" w:hAnsi="宋体"/>
                <w:kern w:val="0"/>
                <w:sz w:val="21"/>
                <w:szCs w:val="21"/>
              </w:rPr>
              <w:t>“中</w:t>
            </w:r>
            <w:r>
              <w:rPr>
                <w:rFonts w:ascii="宋体" w:hAnsi="宋体"/>
                <w:kern w:val="0"/>
                <w:sz w:val="21"/>
                <w:szCs w:val="21"/>
              </w:rPr>
              <w:t>国特色</w:t>
            </w:r>
            <w:r>
              <w:rPr>
                <w:rFonts w:hint="eastAsia" w:ascii="宋体" w:hAnsi="宋体"/>
                <w:kern w:val="0"/>
                <w:sz w:val="21"/>
                <w:szCs w:val="21"/>
              </w:rPr>
              <w:t>社会主</w:t>
            </w:r>
            <w:r>
              <w:rPr>
                <w:rFonts w:ascii="宋体" w:hAnsi="宋体"/>
                <w:kern w:val="0"/>
                <w:sz w:val="21"/>
                <w:szCs w:val="21"/>
              </w:rPr>
              <w:t>义理论</w:t>
            </w:r>
            <w:r>
              <w:rPr>
                <w:rFonts w:hint="eastAsia" w:ascii="宋体" w:hAnsi="宋体"/>
                <w:kern w:val="0"/>
                <w:sz w:val="21"/>
                <w:szCs w:val="21"/>
              </w:rPr>
              <w:t>体系</w:t>
            </w:r>
            <w:r>
              <w:rPr>
                <w:rFonts w:ascii="宋体" w:hAnsi="宋体"/>
                <w:kern w:val="0"/>
                <w:sz w:val="21"/>
                <w:szCs w:val="21"/>
              </w:rPr>
              <w:t>概论”</w:t>
            </w:r>
            <w:r>
              <w:rPr>
                <w:rFonts w:hint="eastAsia" w:ascii="宋体" w:hAnsi="宋体"/>
                <w:kern w:val="0"/>
                <w:sz w:val="21"/>
                <w:szCs w:val="21"/>
              </w:rPr>
              <w:t>是</w:t>
            </w:r>
            <w:r>
              <w:rPr>
                <w:rFonts w:ascii="宋体" w:hAnsi="宋体"/>
                <w:kern w:val="0"/>
                <w:sz w:val="21"/>
                <w:szCs w:val="21"/>
              </w:rPr>
              <w:t>根</w:t>
            </w:r>
            <w:r>
              <w:rPr>
                <w:rFonts w:hint="eastAsia" w:ascii="宋体" w:hAnsi="宋体"/>
                <w:kern w:val="0"/>
                <w:sz w:val="21"/>
                <w:szCs w:val="21"/>
              </w:rPr>
              <w:t>据我国改革开放以来，中国共产党历次代表大会，特别是十八大报告精神，为培养学生掌握中国特色社会主义理论体系的主要内容和精神实质而开设的公共必修思想政治理论课。</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中</w:t>
            </w:r>
            <w:r>
              <w:rPr>
                <w:rFonts w:ascii="宋体" w:hAnsi="宋体"/>
                <w:sz w:val="21"/>
                <w:szCs w:val="21"/>
              </w:rPr>
              <w:t>国特色</w:t>
            </w:r>
            <w:r>
              <w:rPr>
                <w:rFonts w:hint="eastAsia" w:ascii="宋体" w:hAnsi="宋体"/>
                <w:sz w:val="21"/>
                <w:szCs w:val="21"/>
              </w:rPr>
              <w:t>社会主</w:t>
            </w:r>
            <w:r>
              <w:rPr>
                <w:rFonts w:ascii="宋体" w:hAnsi="宋体"/>
                <w:sz w:val="21"/>
                <w:szCs w:val="21"/>
              </w:rPr>
              <w:t>义理论体系概论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93" w:type="dxa"/>
            <w:vMerge w:val="continue"/>
            <w:vAlign w:val="center"/>
          </w:tcPr>
          <w:p>
            <w:pPr>
              <w:ind w:firstLine="0" w:firstLineChars="0"/>
            </w:pPr>
          </w:p>
        </w:tc>
        <w:tc>
          <w:tcPr>
            <w:tcW w:w="1733" w:type="dxa"/>
            <w:gridSpan w:val="2"/>
            <w:vMerge w:val="continue"/>
            <w:tcBorders>
              <w:top w:val="single" w:color="auto" w:sz="8" w:space="0"/>
              <w:bottom w:val="single" w:color="auto" w:sz="12" w:space="0"/>
            </w:tcBorders>
            <w:vAlign w:val="center"/>
          </w:tcPr>
          <w:p>
            <w:pPr>
              <w:ind w:firstLine="0" w:firstLineChars="0"/>
            </w:pPr>
          </w:p>
        </w:tc>
        <w:tc>
          <w:tcPr>
            <w:tcW w:w="5794" w:type="dxa"/>
            <w:tcBorders>
              <w:top w:val="single" w:color="auto" w:sz="8" w:space="0"/>
              <w:bottom w:val="single" w:color="auto" w:sz="12" w:space="0"/>
            </w:tcBorders>
            <w:vAlign w:val="center"/>
          </w:tcPr>
          <w:p>
            <w:pPr>
              <w:ind w:firstLine="420"/>
              <w:rPr>
                <w:rFonts w:ascii="宋体" w:hAnsi="宋体"/>
                <w:kern w:val="0"/>
                <w:sz w:val="21"/>
                <w:szCs w:val="21"/>
              </w:rPr>
            </w:pPr>
            <w:r>
              <w:rPr>
                <w:rFonts w:ascii="宋体" w:hAnsi="宋体"/>
                <w:kern w:val="0"/>
                <w:sz w:val="21"/>
                <w:szCs w:val="21"/>
              </w:rPr>
              <w:t xml:space="preserve">2. </w:t>
            </w:r>
            <w:r>
              <w:rPr>
                <w:rFonts w:hint="eastAsia" w:ascii="宋体" w:hAnsi="宋体"/>
                <w:kern w:val="0"/>
                <w:sz w:val="21"/>
                <w:szCs w:val="21"/>
              </w:rPr>
              <w:t>以完成学习任务的过程为导向，从学习者如何完成国家开放大学规定的专业学习任务的角度，让学习者学会如何完成课程、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国家</w:t>
            </w:r>
            <w:r>
              <w:rPr>
                <w:rFonts w:ascii="宋体" w:hAnsi="宋体"/>
                <w:sz w:val="21"/>
                <w:szCs w:val="21"/>
              </w:rPr>
              <w:t>开放大学学习指南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91" w:hRule="atLeast"/>
        </w:trPr>
        <w:tc>
          <w:tcPr>
            <w:tcW w:w="993" w:type="dxa"/>
            <w:vMerge w:val="continue"/>
            <w:tcBorders>
              <w:top w:val="single" w:color="auto" w:sz="12" w:space="0"/>
            </w:tcBorders>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tcBorders>
              <w:top w:val="single" w:color="auto" w:sz="12" w:space="0"/>
            </w:tcBorders>
            <w:vAlign w:val="center"/>
          </w:tcPr>
          <w:p>
            <w:pPr>
              <w:ind w:firstLine="420"/>
              <w:rPr>
                <w:rFonts w:ascii="宋体" w:hAnsi="宋体"/>
                <w:kern w:val="0"/>
                <w:sz w:val="21"/>
                <w:szCs w:val="21"/>
              </w:rPr>
            </w:pPr>
            <w:r>
              <w:rPr>
                <w:rFonts w:ascii="宋体" w:hAnsi="宋体"/>
                <w:kern w:val="0"/>
                <w:sz w:val="21"/>
                <w:szCs w:val="21"/>
              </w:rPr>
              <w:t>3. 通过课程的学习，学生应能掌握1600左右的常用词汇（包括入学时要求掌握的600词）和若干相关的常用词组及基础语法知识；能够听懂发音清楚、语速较慢的教学用语和日常生活用语，并能用英语进行简单的日常交谈；能够读懂所学词汇和语法范围内的故事、短文及通知、便条等；能够写出简短的私人信函，或用便条转达具体信息。</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英语</w:t>
            </w:r>
            <w:r>
              <w:rPr>
                <w:rFonts w:hint="eastAsia" w:ascii="宋体" w:hAnsi="宋体" w:cs="宋体"/>
                <w:kern w:val="1"/>
                <w:sz w:val="21"/>
                <w:szCs w:val="21"/>
              </w:rPr>
              <w:t>Ⅰ（</w:t>
            </w:r>
            <w:r>
              <w:rPr>
                <w:rFonts w:ascii="宋体" w:hAnsi="宋体" w:cs="宋体"/>
                <w:kern w:val="1"/>
                <w:sz w:val="21"/>
                <w:szCs w:val="21"/>
              </w:rPr>
              <w:t>1</w:t>
            </w:r>
            <w:r>
              <w:rPr>
                <w:rFonts w:hint="eastAsia" w:ascii="宋体" w:hAnsi="宋体" w:cs="宋体"/>
                <w:kern w:val="1"/>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93" w:type="dxa"/>
            <w:vMerge w:val="continue"/>
            <w:vAlign w:val="center"/>
          </w:tcPr>
          <w:p>
            <w:pPr>
              <w:ind w:firstLine="0" w:firstLineChars="0"/>
            </w:pPr>
          </w:p>
        </w:tc>
        <w:tc>
          <w:tcPr>
            <w:tcW w:w="1733" w:type="dxa"/>
            <w:gridSpan w:val="2"/>
            <w:vMerge w:val="continue"/>
            <w:tcBorders>
              <w:top w:val="single" w:color="auto" w:sz="8"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4. </w:t>
            </w:r>
            <w:r>
              <w:rPr>
                <w:rFonts w:hint="eastAsia" w:ascii="宋体" w:hAnsi="宋体"/>
                <w:kern w:val="0"/>
                <w:sz w:val="21"/>
                <w:szCs w:val="21"/>
              </w:rPr>
              <w:t>通过本</w:t>
            </w:r>
            <w:r>
              <w:rPr>
                <w:rFonts w:ascii="宋体" w:hAnsi="宋体"/>
                <w:kern w:val="0"/>
                <w:sz w:val="21"/>
                <w:szCs w:val="21"/>
              </w:rPr>
              <w:t>课程的</w:t>
            </w:r>
            <w:r>
              <w:rPr>
                <w:rFonts w:hint="eastAsia" w:ascii="宋体" w:hAnsi="宋体"/>
                <w:kern w:val="0"/>
                <w:sz w:val="21"/>
                <w:szCs w:val="21"/>
              </w:rPr>
              <w:t>学习</w:t>
            </w:r>
            <w:r>
              <w:rPr>
                <w:rFonts w:ascii="宋体" w:hAnsi="宋体"/>
                <w:kern w:val="0"/>
                <w:sz w:val="21"/>
                <w:szCs w:val="21"/>
              </w:rPr>
              <w:t>，</w:t>
            </w:r>
            <w:r>
              <w:rPr>
                <w:rFonts w:hint="eastAsia" w:ascii="宋体" w:hAnsi="宋体"/>
                <w:kern w:val="0"/>
                <w:sz w:val="21"/>
                <w:szCs w:val="21"/>
              </w:rPr>
              <w:t>使学生</w:t>
            </w:r>
            <w:r>
              <w:rPr>
                <w:rFonts w:ascii="宋体" w:hAnsi="宋体"/>
                <w:kern w:val="0"/>
                <w:sz w:val="21"/>
                <w:szCs w:val="21"/>
              </w:rPr>
              <w:t>了解函数、极限</w:t>
            </w:r>
            <w:r>
              <w:rPr>
                <w:rFonts w:hint="eastAsia" w:ascii="宋体" w:hAnsi="宋体"/>
                <w:kern w:val="0"/>
                <w:sz w:val="21"/>
                <w:szCs w:val="21"/>
              </w:rPr>
              <w:t>与</w:t>
            </w:r>
            <w:r>
              <w:rPr>
                <w:rFonts w:ascii="宋体" w:hAnsi="宋体"/>
                <w:kern w:val="0"/>
                <w:sz w:val="21"/>
                <w:szCs w:val="21"/>
              </w:rPr>
              <w:t>连续、</w:t>
            </w:r>
            <w:r>
              <w:rPr>
                <w:rFonts w:hint="eastAsia" w:ascii="宋体" w:hAnsi="宋体"/>
                <w:kern w:val="0"/>
                <w:sz w:val="21"/>
                <w:szCs w:val="21"/>
              </w:rPr>
              <w:t>导数</w:t>
            </w:r>
            <w:r>
              <w:rPr>
                <w:rFonts w:ascii="宋体" w:hAnsi="宋体"/>
                <w:kern w:val="0"/>
                <w:sz w:val="21"/>
                <w:szCs w:val="21"/>
              </w:rPr>
              <w:t>与微分、导数应用、不定积分和定积分</w:t>
            </w:r>
            <w:r>
              <w:rPr>
                <w:rFonts w:hint="eastAsia" w:ascii="宋体" w:hAnsi="宋体"/>
                <w:kern w:val="0"/>
                <w:sz w:val="21"/>
                <w:szCs w:val="21"/>
              </w:rPr>
              <w:t>及其</w:t>
            </w:r>
            <w:r>
              <w:rPr>
                <w:rFonts w:ascii="宋体" w:hAnsi="宋体"/>
                <w:kern w:val="0"/>
                <w:sz w:val="21"/>
                <w:szCs w:val="21"/>
              </w:rPr>
              <w:t>应用。通过</w:t>
            </w:r>
            <w:r>
              <w:rPr>
                <w:rFonts w:hint="eastAsia" w:ascii="宋体" w:hAnsi="宋体"/>
                <w:kern w:val="0"/>
                <w:sz w:val="21"/>
                <w:szCs w:val="21"/>
              </w:rPr>
              <w:t>本课程</w:t>
            </w:r>
            <w:r>
              <w:rPr>
                <w:rFonts w:ascii="宋体" w:hAnsi="宋体"/>
                <w:kern w:val="0"/>
                <w:sz w:val="21"/>
                <w:szCs w:val="21"/>
              </w:rPr>
              <w:t>的学习，</w:t>
            </w:r>
            <w:r>
              <w:rPr>
                <w:rFonts w:hint="eastAsia" w:ascii="宋体" w:hAnsi="宋体"/>
                <w:kern w:val="0"/>
                <w:sz w:val="21"/>
                <w:szCs w:val="21"/>
              </w:rPr>
              <w:t>使</w:t>
            </w:r>
            <w:r>
              <w:rPr>
                <w:rFonts w:ascii="宋体" w:hAnsi="宋体"/>
                <w:kern w:val="0"/>
                <w:sz w:val="21"/>
                <w:szCs w:val="21"/>
              </w:rPr>
              <w:t>学生初步受到用数学方法</w:t>
            </w:r>
            <w:r>
              <w:rPr>
                <w:rFonts w:hint="eastAsia" w:ascii="宋体" w:hAnsi="宋体"/>
                <w:kern w:val="0"/>
                <w:sz w:val="21"/>
                <w:szCs w:val="21"/>
              </w:rPr>
              <w:t>解决实际</w:t>
            </w:r>
            <w:r>
              <w:rPr>
                <w:rFonts w:ascii="宋体" w:hAnsi="宋体"/>
                <w:kern w:val="0"/>
                <w:sz w:val="21"/>
                <w:szCs w:val="21"/>
              </w:rPr>
              <w:t>问题的能力训练。</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高等数学</w:t>
            </w:r>
            <w:r>
              <w:rPr>
                <w:rFonts w:ascii="宋体" w:hAnsi="宋体"/>
                <w:sz w:val="21"/>
                <w:szCs w:val="21"/>
              </w:rPr>
              <w:t>基础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93" w:type="dxa"/>
            <w:vMerge w:val="continue"/>
            <w:vAlign w:val="center"/>
          </w:tcPr>
          <w:p>
            <w:pPr>
              <w:ind w:firstLine="0" w:firstLineChars="0"/>
            </w:pPr>
          </w:p>
        </w:tc>
        <w:tc>
          <w:tcPr>
            <w:tcW w:w="1733" w:type="dxa"/>
            <w:gridSpan w:val="2"/>
            <w:vMerge w:val="continue"/>
            <w:tcBorders>
              <w:top w:val="single" w:color="auto" w:sz="8" w:space="0"/>
              <w:bottom w:val="single" w:color="auto" w:sz="8"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5</w:t>
            </w:r>
            <w:r>
              <w:rPr>
                <w:rFonts w:hint="eastAsia" w:ascii="宋体" w:hAnsi="宋体"/>
                <w:kern w:val="0"/>
                <w:sz w:val="21"/>
                <w:szCs w:val="21"/>
              </w:rPr>
              <w:t>.通过</w:t>
            </w:r>
            <w:r>
              <w:rPr>
                <w:rFonts w:ascii="宋体" w:hAnsi="宋体"/>
                <w:kern w:val="0"/>
                <w:sz w:val="21"/>
                <w:szCs w:val="21"/>
              </w:rPr>
              <w:t>本课程的</w:t>
            </w:r>
            <w:r>
              <w:rPr>
                <w:rFonts w:hint="eastAsia" w:ascii="宋体" w:hAnsi="宋体"/>
                <w:kern w:val="0"/>
                <w:sz w:val="21"/>
                <w:szCs w:val="21"/>
              </w:rPr>
              <w:t>学习，</w:t>
            </w:r>
            <w:r>
              <w:rPr>
                <w:rFonts w:ascii="宋体" w:hAnsi="宋体"/>
                <w:kern w:val="0"/>
                <w:sz w:val="21"/>
                <w:szCs w:val="21"/>
              </w:rPr>
              <w:t>使学生掌握</w:t>
            </w:r>
            <w:r>
              <w:rPr>
                <w:rFonts w:hint="eastAsia" w:ascii="宋体" w:hAnsi="宋体"/>
                <w:kern w:val="0"/>
                <w:sz w:val="21"/>
                <w:szCs w:val="21"/>
              </w:rPr>
              <w:t>计算机的形成与发展，计算机操作系统，数据库管理系统、Word和Excel的使用方法和技巧，计算机网络和Internet。</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计算机</w:t>
            </w:r>
            <w:r>
              <w:rPr>
                <w:rFonts w:ascii="宋体" w:hAnsi="宋体"/>
                <w:sz w:val="21"/>
                <w:szCs w:val="21"/>
              </w:rPr>
              <w:t>文化基础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55" w:hRule="atLeast"/>
        </w:trPr>
        <w:tc>
          <w:tcPr>
            <w:tcW w:w="993" w:type="dxa"/>
            <w:vMerge w:val="continue"/>
            <w:vAlign w:val="center"/>
          </w:tcPr>
          <w:p>
            <w:pPr>
              <w:ind w:firstLine="0" w:firstLineChars="0"/>
            </w:pPr>
          </w:p>
        </w:tc>
        <w:tc>
          <w:tcPr>
            <w:tcW w:w="1733" w:type="dxa"/>
            <w:gridSpan w:val="2"/>
            <w:vMerge w:val="restart"/>
            <w:tcBorders>
              <w:top w:val="single" w:color="auto" w:sz="8" w:space="0"/>
              <w:bottom w:val="single" w:color="auto" w:sz="12" w:space="0"/>
            </w:tcBorders>
            <w:vAlign w:val="center"/>
          </w:tcPr>
          <w:p>
            <w:pPr>
              <w:ind w:firstLine="0" w:firstLineChars="0"/>
            </w:pPr>
            <w:r>
              <w:pict>
                <v:line id="直接连接符 1" o:spid="_x0000_s2061" o:spt="20" style="position:absolute;left:0pt;margin-left:-52.25pt;margin-top:306.25pt;height:0pt;width:0pt;z-index:2516725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">
                  <v:path arrowok="t"/>
                  <v:fill focussize="0,0"/>
                  <v:stroke weight="0.5pt" color="#5B9BD5" joinstyle="miter"/>
                  <v:imagedata o:title=""/>
                  <o:lock v:ext="edit"/>
                </v:line>
              </w:pict>
            </w:r>
            <w:r>
              <w:t>5.2</w:t>
            </w:r>
            <w:r>
              <w:rPr>
                <w:rFonts w:hint="eastAsia"/>
              </w:rPr>
              <w:t>专业基础</w:t>
            </w:r>
            <w:r>
              <w:t>课</w:t>
            </w:r>
          </w:p>
        </w:tc>
        <w:tc>
          <w:tcPr>
            <w:tcW w:w="5794" w:type="dxa"/>
            <w:tcBorders>
              <w:bottom w:val="single" w:color="auto" w:sz="8" w:space="0"/>
            </w:tcBorders>
            <w:vAlign w:val="center"/>
          </w:tcPr>
          <w:p>
            <w:pPr>
              <w:ind w:firstLine="420"/>
              <w:rPr>
                <w:rFonts w:ascii="宋体" w:hAnsi="宋体"/>
                <w:kern w:val="0"/>
                <w:sz w:val="21"/>
                <w:szCs w:val="21"/>
              </w:rPr>
            </w:pPr>
            <w:r>
              <w:rPr>
                <w:rFonts w:hint="eastAsia" w:ascii="宋体" w:hAnsi="宋体"/>
                <w:kern w:val="0"/>
                <w:sz w:val="21"/>
                <w:szCs w:val="21"/>
              </w:rPr>
              <w:t>1</w:t>
            </w:r>
            <w:r>
              <w:rPr>
                <w:rFonts w:ascii="宋体" w:hAnsi="宋体"/>
                <w:kern w:val="0"/>
                <w:sz w:val="21"/>
                <w:szCs w:val="21"/>
              </w:rPr>
              <w:t xml:space="preserve">. </w:t>
            </w:r>
            <w:r>
              <w:rPr>
                <w:rFonts w:hint="eastAsia" w:ascii="宋体" w:hAnsi="宋体"/>
                <w:kern w:val="0"/>
                <w:sz w:val="21"/>
                <w:szCs w:val="21"/>
              </w:rPr>
              <w:t>通过本课程</w:t>
            </w:r>
            <w:r>
              <w:rPr>
                <w:rFonts w:ascii="宋体" w:hAnsi="宋体"/>
                <w:kern w:val="0"/>
                <w:sz w:val="21"/>
                <w:szCs w:val="21"/>
              </w:rPr>
              <w:t>的学习，</w:t>
            </w:r>
            <w:r>
              <w:rPr>
                <w:rFonts w:hint="eastAsia" w:ascii="宋体" w:hAnsi="宋体"/>
                <w:kern w:val="0"/>
                <w:sz w:val="21"/>
                <w:szCs w:val="21"/>
              </w:rPr>
              <w:t>使学生</w:t>
            </w:r>
            <w:r>
              <w:rPr>
                <w:rFonts w:ascii="宋体" w:hAnsi="宋体"/>
                <w:kern w:val="0"/>
                <w:sz w:val="21"/>
                <w:szCs w:val="21"/>
              </w:rPr>
              <w:t>了解国家制图标准基本知识、投影、机件表达方法、标准件与常用件、零件图、装配图和房屋建筑工程图，使学生建立空间概念，掌握投影规律，了解机件的表达方法，能读懂零件图、装配图和房屋建筑工程图并具备较强的手工绘制简单图形的能力。</w:t>
            </w:r>
          </w:p>
        </w:tc>
        <w:tc>
          <w:tcPr>
            <w:tcW w:w="851" w:type="dxa"/>
            <w:vAlign w:val="center"/>
          </w:tcPr>
          <w:p>
            <w:pPr>
              <w:spacing w:line="240" w:lineRule="auto"/>
              <w:ind w:firstLine="0" w:firstLineChars="0"/>
              <w:rPr>
                <w:rFonts w:ascii="宋体" w:hAnsi="宋体"/>
                <w:i/>
                <w:sz w:val="21"/>
                <w:szCs w:val="21"/>
              </w:rPr>
            </w:pPr>
            <w:r>
              <w:rPr>
                <w:rFonts w:hint="eastAsia" w:ascii="宋体" w:hAnsi="宋体"/>
                <w:sz w:val="21"/>
                <w:szCs w:val="21"/>
              </w:rPr>
              <w:t>工</w:t>
            </w:r>
            <w:r>
              <w:rPr>
                <w:rFonts w:ascii="宋体" w:hAnsi="宋体"/>
                <w:sz w:val="21"/>
                <w:szCs w:val="21"/>
              </w:rPr>
              <w:t>程制图基础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55"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tcBorders>
              <w:top w:val="single" w:color="auto" w:sz="8" w:space="0"/>
              <w:bottom w:val="single" w:color="auto" w:sz="12" w:space="0"/>
            </w:tcBorders>
            <w:vAlign w:val="center"/>
          </w:tcPr>
          <w:p>
            <w:pPr>
              <w:ind w:firstLine="420"/>
              <w:rPr>
                <w:rFonts w:ascii="宋体" w:hAnsi="宋体"/>
                <w:kern w:val="0"/>
                <w:sz w:val="21"/>
                <w:szCs w:val="21"/>
              </w:rPr>
            </w:pPr>
            <w:r>
              <w:rPr>
                <w:rFonts w:hint="eastAsia" w:ascii="宋体" w:hAnsi="宋体"/>
                <w:kern w:val="0"/>
                <w:sz w:val="21"/>
                <w:szCs w:val="21"/>
              </w:rPr>
              <w:t>2</w:t>
            </w:r>
            <w:r>
              <w:rPr>
                <w:rFonts w:ascii="宋体" w:hAnsi="宋体"/>
                <w:kern w:val="0"/>
                <w:sz w:val="21"/>
                <w:szCs w:val="21"/>
              </w:rPr>
              <w:t xml:space="preserve">. </w:t>
            </w:r>
            <w:r>
              <w:rPr>
                <w:rFonts w:hint="eastAsia" w:ascii="宋体" w:hAnsi="宋体"/>
                <w:kern w:val="0"/>
                <w:sz w:val="21"/>
                <w:szCs w:val="21"/>
              </w:rPr>
              <w:t>通过本课程</w:t>
            </w:r>
            <w:r>
              <w:rPr>
                <w:rFonts w:ascii="宋体" w:hAnsi="宋体"/>
                <w:kern w:val="0"/>
                <w:sz w:val="21"/>
                <w:szCs w:val="21"/>
              </w:rPr>
              <w:t>的</w:t>
            </w:r>
            <w:r>
              <w:rPr>
                <w:rFonts w:hint="eastAsia" w:ascii="宋体" w:hAnsi="宋体"/>
                <w:kern w:val="0"/>
                <w:sz w:val="21"/>
                <w:szCs w:val="21"/>
              </w:rPr>
              <w:t>学习，</w:t>
            </w:r>
            <w:r>
              <w:rPr>
                <w:rFonts w:ascii="宋体" w:hAnsi="宋体"/>
                <w:kern w:val="0"/>
                <w:sz w:val="21"/>
                <w:szCs w:val="21"/>
              </w:rPr>
              <w:t>使学生了解</w:t>
            </w:r>
            <w:r>
              <w:rPr>
                <w:rFonts w:hint="eastAsia" w:ascii="宋体" w:hAnsi="宋体"/>
                <w:kern w:val="0"/>
                <w:sz w:val="21"/>
                <w:szCs w:val="21"/>
              </w:rPr>
              <w:t>安全系统工程概论、事故树分析方法、事故预防、安全人机工程、安全评价、安全预测与安全决策、安全生产管理等，让学生掌握系统工程学的原理和劳动安全科学管理方法，能够对系统或生产中的安全问题进行定性和定量分析、评价及预测，并采取综合性安全措施予以控制，使系统发生事故的可能性减少到最低限度。</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安全</w:t>
            </w:r>
            <w:r>
              <w:rPr>
                <w:rFonts w:ascii="宋体" w:hAnsi="宋体"/>
                <w:sz w:val="21"/>
                <w:szCs w:val="21"/>
              </w:rPr>
              <w:t>系统工程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73"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tcBorders>
              <w:top w:val="single" w:color="auto" w:sz="12" w:space="0"/>
            </w:tcBorders>
            <w:vAlign w:val="center"/>
          </w:tcPr>
          <w:p>
            <w:pPr>
              <w:ind w:firstLine="420"/>
              <w:rPr>
                <w:rFonts w:ascii="宋体" w:hAnsi="宋体"/>
                <w:kern w:val="0"/>
                <w:sz w:val="21"/>
                <w:szCs w:val="21"/>
              </w:rPr>
            </w:pPr>
            <w:r>
              <w:rPr>
                <w:rFonts w:hint="eastAsia" w:ascii="宋体" w:hAnsi="宋体"/>
                <w:kern w:val="0"/>
                <w:sz w:val="21"/>
                <w:szCs w:val="21"/>
              </w:rPr>
              <w:t>3</w:t>
            </w:r>
            <w:r>
              <w:rPr>
                <w:rFonts w:ascii="宋体" w:hAnsi="宋体"/>
                <w:kern w:val="0"/>
                <w:sz w:val="21"/>
                <w:szCs w:val="21"/>
              </w:rPr>
              <w:t xml:space="preserve">. </w:t>
            </w:r>
            <w:r>
              <w:rPr>
                <w:rFonts w:hint="eastAsia" w:ascii="宋体" w:hAnsi="宋体"/>
                <w:kern w:val="0"/>
                <w:sz w:val="21"/>
                <w:szCs w:val="21"/>
              </w:rPr>
              <w:t>通过本课程</w:t>
            </w:r>
            <w:r>
              <w:rPr>
                <w:rFonts w:ascii="宋体" w:hAnsi="宋体"/>
                <w:kern w:val="0"/>
                <w:sz w:val="21"/>
                <w:szCs w:val="21"/>
              </w:rPr>
              <w:t>的</w:t>
            </w:r>
            <w:r>
              <w:rPr>
                <w:rFonts w:hint="eastAsia" w:ascii="宋体" w:hAnsi="宋体"/>
                <w:kern w:val="0"/>
                <w:sz w:val="21"/>
                <w:szCs w:val="21"/>
              </w:rPr>
              <w:t>学习，</w:t>
            </w:r>
            <w:r>
              <w:rPr>
                <w:rFonts w:ascii="宋体" w:hAnsi="宋体"/>
                <w:kern w:val="0"/>
                <w:sz w:val="21"/>
                <w:szCs w:val="21"/>
              </w:rPr>
              <w:t>使学生了解</w:t>
            </w:r>
            <w:r>
              <w:rPr>
                <w:rFonts w:hint="eastAsia" w:ascii="宋体" w:hAnsi="宋体"/>
                <w:kern w:val="0"/>
                <w:sz w:val="21"/>
                <w:szCs w:val="21"/>
              </w:rPr>
              <w:t>安全管理基础知识、安全生产管理理论、安全生产法规与安全管理制度、安全技术措施、事故应急救援、典型安全管理模式、现场安全管理的理论和方法，使学生在一个较高的层次上全面深入地了解安全管理基本理论，熟悉我国安全管理体制，掌握事故预防、控制的对策与方法。</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安全</w:t>
            </w:r>
            <w:r>
              <w:rPr>
                <w:rFonts w:ascii="宋体" w:hAnsi="宋体"/>
                <w:sz w:val="21"/>
                <w:szCs w:val="21"/>
              </w:rPr>
              <w:t>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11"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4.通过本课程</w:t>
            </w:r>
            <w:r>
              <w:rPr>
                <w:rFonts w:ascii="宋体" w:hAnsi="宋体"/>
                <w:kern w:val="0"/>
                <w:sz w:val="21"/>
                <w:szCs w:val="21"/>
              </w:rPr>
              <w:t>的</w:t>
            </w:r>
            <w:r>
              <w:rPr>
                <w:rFonts w:hint="eastAsia" w:ascii="宋体" w:hAnsi="宋体"/>
                <w:kern w:val="0"/>
                <w:sz w:val="21"/>
                <w:szCs w:val="21"/>
              </w:rPr>
              <w:t>学习，</w:t>
            </w:r>
            <w:r>
              <w:rPr>
                <w:rFonts w:ascii="宋体" w:hAnsi="宋体"/>
                <w:kern w:val="0"/>
                <w:sz w:val="21"/>
                <w:szCs w:val="21"/>
              </w:rPr>
              <w:t>使学生</w:t>
            </w:r>
            <w:r>
              <w:rPr>
                <w:rFonts w:hint="eastAsia" w:ascii="宋体" w:hAnsi="宋体"/>
                <w:kern w:val="0"/>
                <w:sz w:val="21"/>
                <w:szCs w:val="21"/>
              </w:rPr>
              <w:t>了解</w:t>
            </w:r>
            <w:r>
              <w:rPr>
                <w:rFonts w:ascii="宋体" w:hAnsi="宋体"/>
                <w:kern w:val="0"/>
                <w:sz w:val="21"/>
                <w:szCs w:val="21"/>
              </w:rPr>
              <w:t>和掌握行为科学与安全生产有关的理论，为防止人失误，</w:t>
            </w:r>
            <w:r>
              <w:rPr>
                <w:rFonts w:hint="eastAsia" w:ascii="宋体" w:hAnsi="宋体"/>
                <w:kern w:val="0"/>
                <w:sz w:val="21"/>
                <w:szCs w:val="21"/>
              </w:rPr>
              <w:t>了解</w:t>
            </w:r>
            <w:r>
              <w:rPr>
                <w:rFonts w:ascii="宋体" w:hAnsi="宋体"/>
                <w:kern w:val="0"/>
                <w:sz w:val="21"/>
                <w:szCs w:val="21"/>
              </w:rPr>
              <w:t>安全人机学、安全心理学基本知识</w:t>
            </w:r>
            <w:r>
              <w:rPr>
                <w:rFonts w:hint="eastAsia" w:ascii="宋体" w:hAnsi="宋体"/>
                <w:kern w:val="0"/>
                <w:sz w:val="21"/>
                <w:szCs w:val="21"/>
              </w:rPr>
              <w:t>、</w:t>
            </w:r>
            <w:r>
              <w:rPr>
                <w:rFonts w:ascii="宋体" w:hAnsi="宋体"/>
                <w:kern w:val="0"/>
                <w:sz w:val="21"/>
                <w:szCs w:val="21"/>
              </w:rPr>
              <w:t>安全原理</w:t>
            </w:r>
            <w:r>
              <w:rPr>
                <w:rFonts w:hint="eastAsia" w:ascii="宋体" w:hAnsi="宋体"/>
                <w:kern w:val="0"/>
                <w:sz w:val="21"/>
                <w:szCs w:val="21"/>
              </w:rPr>
              <w:t>、</w:t>
            </w:r>
            <w:r>
              <w:rPr>
                <w:rFonts w:ascii="宋体" w:hAnsi="宋体"/>
                <w:kern w:val="0"/>
                <w:sz w:val="21"/>
                <w:szCs w:val="21"/>
              </w:rPr>
              <w:t>物质、设备安全的物流安全原理和安全信息</w:t>
            </w:r>
            <w:r>
              <w:rPr>
                <w:rFonts w:hint="eastAsia" w:ascii="宋体" w:hAnsi="宋体"/>
                <w:kern w:val="0"/>
                <w:sz w:val="21"/>
                <w:szCs w:val="21"/>
              </w:rPr>
              <w:t>等</w:t>
            </w:r>
            <w:r>
              <w:rPr>
                <w:rFonts w:ascii="宋体" w:hAnsi="宋体"/>
                <w:kern w:val="0"/>
                <w:sz w:val="21"/>
                <w:szCs w:val="21"/>
              </w:rPr>
              <w:t>知识。</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安全</w:t>
            </w:r>
            <w:r>
              <w:rPr>
                <w:rFonts w:ascii="宋体" w:hAnsi="宋体"/>
                <w:sz w:val="21"/>
                <w:szCs w:val="21"/>
              </w:rPr>
              <w:t>原理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25"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5.通过本课程</w:t>
            </w:r>
            <w:r>
              <w:rPr>
                <w:rFonts w:ascii="宋体" w:hAnsi="宋体"/>
                <w:kern w:val="0"/>
                <w:sz w:val="21"/>
                <w:szCs w:val="21"/>
              </w:rPr>
              <w:t>的学习，使学生了解</w:t>
            </w:r>
            <w:r>
              <w:rPr>
                <w:rFonts w:hint="eastAsia" w:ascii="宋体" w:hAnsi="宋体"/>
                <w:kern w:val="0"/>
                <w:sz w:val="21"/>
                <w:szCs w:val="21"/>
              </w:rPr>
              <w:t>人的特性及其数学模型、机的特性以及人机界面的设计、环境特性以及作业空间的设计、人－机－环境系统的总体性能分析与安全评价、安全人机工程学基础理论的应用等方面的知识的</w:t>
            </w:r>
            <w:r>
              <w:rPr>
                <w:rFonts w:ascii="宋体" w:hAnsi="宋体"/>
                <w:kern w:val="0"/>
                <w:sz w:val="21"/>
                <w:szCs w:val="21"/>
              </w:rPr>
              <w:t>学习</w:t>
            </w:r>
            <w:r>
              <w:rPr>
                <w:rFonts w:hint="eastAsia" w:ascii="宋体" w:hAnsi="宋体"/>
                <w:kern w:val="0"/>
                <w:sz w:val="21"/>
                <w:szCs w:val="21"/>
              </w:rPr>
              <w:t>，让学生掌握安全人机工程的基础理论，为以后从事安全的人机系统评价打下的基础。</w:t>
            </w:r>
          </w:p>
        </w:tc>
        <w:tc>
          <w:tcPr>
            <w:tcW w:w="851" w:type="dxa"/>
            <w:vAlign w:val="center"/>
          </w:tcPr>
          <w:p>
            <w:pPr>
              <w:spacing w:line="240" w:lineRule="auto"/>
              <w:ind w:firstLine="0" w:firstLineChars="0"/>
              <w:rPr>
                <w:rFonts w:ascii="宋体" w:hAnsi="宋体"/>
                <w:sz w:val="21"/>
                <w:szCs w:val="21"/>
              </w:rPr>
            </w:pPr>
            <w:r>
              <w:rPr>
                <w:rFonts w:ascii="宋体" w:hAnsi="宋体" w:cs="宋体"/>
                <w:kern w:val="1"/>
                <w:sz w:val="21"/>
                <w:szCs w:val="21"/>
              </w:rPr>
              <w:t>安全人机工程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81"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6.通过本课程</w:t>
            </w:r>
            <w:r>
              <w:rPr>
                <w:rFonts w:ascii="宋体" w:hAnsi="宋体"/>
                <w:kern w:val="0"/>
                <w:sz w:val="21"/>
                <w:szCs w:val="21"/>
              </w:rPr>
              <w:t>的学习，使学生了解</w:t>
            </w:r>
            <w:r>
              <w:rPr>
                <w:rFonts w:hint="eastAsia" w:ascii="宋体" w:hAnsi="宋体"/>
                <w:kern w:val="0"/>
                <w:sz w:val="21"/>
                <w:szCs w:val="21"/>
              </w:rPr>
              <w:t>工业有害物及其防治、通风方法及通风系统组成、局部排风罩、除尘技术、通风设备、除尘系统的维护管理与技术经济分析等知识，掌握作业环境中有毒有害气体和粉尘的性质、危害、分布特征、传播规律与检测方法，掌握控制与消除作业环境中有毒有害气体和粉尘的通风防尘技术方法、原理与措施。</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工业通风及除尘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81"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7.通过本课程</w:t>
            </w:r>
            <w:r>
              <w:rPr>
                <w:rFonts w:ascii="宋体" w:hAnsi="宋体"/>
                <w:kern w:val="0"/>
                <w:sz w:val="21"/>
                <w:szCs w:val="21"/>
              </w:rPr>
              <w:t>的学习</w:t>
            </w:r>
            <w:r>
              <w:rPr>
                <w:rFonts w:hint="eastAsia" w:ascii="宋体" w:hAnsi="宋体"/>
                <w:kern w:val="0"/>
                <w:sz w:val="21"/>
                <w:szCs w:val="21"/>
              </w:rPr>
              <w:t>，使学生掌握流体静止与运动的基本规律与基本原理，了解能量损失计算及管路计算的方法；学会必要的理论分析与计算方法；掌握一定的实验方法，培养学生分析问题和解决问题的能力，具备分析工程传热问题的基本能力，掌握计算工程传热问题的基本方法，并学会分析强化或削弱热量传递过程的方法，为以后进一步学习专业知识，从事专业工作以及进行科学研究打下基础。</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sz w:val="21"/>
                <w:szCs w:val="21"/>
              </w:rPr>
              <w:t>流体</w:t>
            </w:r>
            <w:r>
              <w:rPr>
                <w:rFonts w:ascii="宋体" w:hAnsi="宋体"/>
                <w:sz w:val="21"/>
                <w:szCs w:val="21"/>
              </w:rPr>
              <w:t>力学</w:t>
            </w:r>
            <w:r>
              <w:rPr>
                <w:rFonts w:hint="eastAsia" w:ascii="宋体" w:hAnsi="宋体"/>
                <w:sz w:val="21"/>
                <w:szCs w:val="21"/>
              </w:rPr>
              <w:t>与</w:t>
            </w:r>
            <w:r>
              <w:rPr>
                <w:rFonts w:hint="eastAsia" w:ascii="宋体" w:hAnsi="宋体" w:cs="Arial"/>
                <w:sz w:val="21"/>
                <w:szCs w:val="21"/>
                <w:shd w:val="clear" w:color="auto" w:fill="FFFFFF"/>
              </w:rPr>
              <w:t>热工</w:t>
            </w:r>
            <w:r>
              <w:rPr>
                <w:rFonts w:ascii="宋体" w:hAnsi="宋体" w:cs="Arial"/>
                <w:sz w:val="21"/>
                <w:szCs w:val="21"/>
                <w:shd w:val="clear" w:color="auto" w:fill="FFFFFF"/>
              </w:rPr>
              <w:t>学</w:t>
            </w:r>
            <w:r>
              <w:rPr>
                <w:rFonts w:hint="eastAsia" w:ascii="宋体" w:hAnsi="宋体" w:cs="Arial"/>
                <w:sz w:val="21"/>
                <w:szCs w:val="21"/>
                <w:shd w:val="clear" w:color="auto" w:fill="FFFFFF"/>
              </w:rPr>
              <w:t>基 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77"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8.通过本课程学习，使学生了解安全管理文书制作、运用及安全与科技论文的写作能力，掌握文书的撰写、行文关系和规则、办理程序、归档及电子公文的制作和管理、事故调查报告、事故与灾难应急预案、安全评价报告的写作、现场安全技术措施方案、事故隐患整改报告的写作、安全与科技论文的写作，提高</w:t>
            </w:r>
            <w:r>
              <w:rPr>
                <w:rFonts w:ascii="宋体" w:hAnsi="宋体"/>
                <w:kern w:val="0"/>
                <w:sz w:val="21"/>
                <w:szCs w:val="21"/>
              </w:rPr>
              <w:t>学生</w:t>
            </w:r>
            <w:r>
              <w:rPr>
                <w:rFonts w:hint="eastAsia" w:ascii="宋体" w:hAnsi="宋体"/>
                <w:kern w:val="0"/>
                <w:sz w:val="21"/>
                <w:szCs w:val="21"/>
              </w:rPr>
              <w:t>安全</w:t>
            </w:r>
            <w:r>
              <w:rPr>
                <w:rFonts w:ascii="宋体" w:hAnsi="宋体"/>
                <w:kern w:val="0"/>
                <w:sz w:val="21"/>
                <w:szCs w:val="21"/>
              </w:rPr>
              <w:t>管理文书写作的能力</w:t>
            </w:r>
            <w:r>
              <w:rPr>
                <w:rFonts w:hint="eastAsia" w:ascii="宋体" w:hAnsi="宋体"/>
                <w:kern w:val="0"/>
                <w:sz w:val="21"/>
                <w:szCs w:val="21"/>
              </w:rPr>
              <w:t>。</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安全</w:t>
            </w:r>
            <w:r>
              <w:rPr>
                <w:rFonts w:ascii="宋体" w:hAnsi="宋体"/>
                <w:sz w:val="21"/>
                <w:szCs w:val="21"/>
              </w:rPr>
              <w:t>管理文书写作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32" w:hRule="atLeast"/>
        </w:trPr>
        <w:tc>
          <w:tcPr>
            <w:tcW w:w="993" w:type="dxa"/>
            <w:vMerge w:val="continue"/>
            <w:vAlign w:val="center"/>
          </w:tcPr>
          <w:p>
            <w:pPr>
              <w:ind w:firstLine="0" w:firstLineChars="0"/>
            </w:pPr>
          </w:p>
        </w:tc>
        <w:tc>
          <w:tcPr>
            <w:tcW w:w="1733" w:type="dxa"/>
            <w:gridSpan w:val="2"/>
            <w:vMerge w:val="continue"/>
            <w:tcBorders>
              <w:top w:val="single" w:color="auto" w:sz="12" w:space="0"/>
              <w:bottom w:val="single" w:color="auto" w:sz="6"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9.通过本课程的</w:t>
            </w:r>
            <w:r>
              <w:rPr>
                <w:rFonts w:ascii="宋体" w:hAnsi="宋体"/>
                <w:kern w:val="0"/>
                <w:sz w:val="21"/>
                <w:szCs w:val="21"/>
              </w:rPr>
              <w:t>学习，</w:t>
            </w:r>
            <w:r>
              <w:rPr>
                <w:rFonts w:hint="eastAsia" w:ascii="宋体" w:hAnsi="宋体"/>
                <w:kern w:val="0"/>
                <w:sz w:val="21"/>
                <w:szCs w:val="21"/>
              </w:rPr>
              <w:t>使学生对管理信息系统的理论和应用有较深刻的了解，掌握管理信息系统的概念和结构，掌握管理信息系统开发的过程和方法，以及运行、维护、管理等环节的知识，初步具备管理信息系统建设、应用和管理的能力。</w:t>
            </w:r>
          </w:p>
        </w:tc>
        <w:tc>
          <w:tcPr>
            <w:tcW w:w="851" w:type="dxa"/>
            <w:vAlign w:val="center"/>
          </w:tcPr>
          <w:p>
            <w:pPr>
              <w:spacing w:line="240" w:lineRule="auto"/>
              <w:ind w:firstLine="0" w:firstLineChars="0"/>
              <w:rPr>
                <w:rFonts w:ascii="宋体" w:hAnsi="宋体"/>
                <w:sz w:val="21"/>
                <w:szCs w:val="21"/>
              </w:rPr>
            </w:pPr>
            <w:r>
              <w:rPr>
                <w:rFonts w:hint="eastAsia" w:ascii="宋体" w:hAnsi="宋体"/>
                <w:sz w:val="21"/>
                <w:szCs w:val="21"/>
              </w:rPr>
              <w:t>信息</w:t>
            </w:r>
            <w:r>
              <w:rPr>
                <w:rFonts w:ascii="宋体" w:hAnsi="宋体"/>
                <w:sz w:val="21"/>
                <w:szCs w:val="21"/>
              </w:rPr>
              <w:t>管理系统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0" w:hRule="atLeast"/>
        </w:trPr>
        <w:tc>
          <w:tcPr>
            <w:tcW w:w="993" w:type="dxa"/>
            <w:vMerge w:val="restart"/>
            <w:vAlign w:val="center"/>
          </w:tcPr>
          <w:p>
            <w:pPr>
              <w:spacing w:line="240" w:lineRule="auto"/>
              <w:ind w:firstLine="0" w:firstLineChars="0"/>
              <w:rPr>
                <w:b/>
              </w:rPr>
            </w:pPr>
            <w:r>
              <w:rPr>
                <w:rFonts w:hint="eastAsia"/>
                <w:b/>
              </w:rPr>
              <w:t>六</w:t>
            </w:r>
            <w:r>
              <w:rPr>
                <w:b/>
              </w:rPr>
              <w:t>、知识、能力结构及其支撑课程（活动）（续）</w:t>
            </w:r>
          </w:p>
        </w:tc>
        <w:tc>
          <w:tcPr>
            <w:tcW w:w="708" w:type="dxa"/>
            <w:vMerge w:val="restart"/>
            <w:tcBorders>
              <w:top w:val="single" w:color="auto" w:sz="6" w:space="0"/>
              <w:bottom w:val="single" w:color="auto" w:sz="12" w:space="0"/>
            </w:tcBorders>
            <w:vAlign w:val="center"/>
          </w:tcPr>
          <w:p>
            <w:pPr>
              <w:ind w:firstLine="0" w:firstLineChars="0"/>
            </w:pPr>
            <w:r>
              <w:t>6.1  专业</w:t>
            </w:r>
          </w:p>
          <w:p>
            <w:pPr>
              <w:ind w:firstLine="0" w:firstLineChars="0"/>
            </w:pPr>
            <w:r>
              <w:t>/</w:t>
            </w:r>
          </w:p>
          <w:p>
            <w:pPr>
              <w:ind w:firstLine="0" w:firstLineChars="0"/>
            </w:pPr>
            <w:r>
              <w:t>职业能力</w:t>
            </w:r>
          </w:p>
        </w:tc>
        <w:tc>
          <w:tcPr>
            <w:tcW w:w="1025" w:type="dxa"/>
            <w:vMerge w:val="restart"/>
            <w:tcBorders>
              <w:top w:val="single" w:color="auto" w:sz="6" w:space="0"/>
              <w:bottom w:val="single" w:color="auto" w:sz="12" w:space="0"/>
            </w:tcBorders>
            <w:vAlign w:val="center"/>
          </w:tcPr>
          <w:p>
            <w:pPr>
              <w:ind w:firstLine="0" w:firstLineChars="0"/>
              <w:jc w:val="left"/>
            </w:pPr>
            <w:r>
              <w:rPr>
                <w:rFonts w:hint="eastAsia"/>
              </w:rPr>
              <w:t>1</w:t>
            </w:r>
            <w:r>
              <w:t>.</w:t>
            </w:r>
            <w:r>
              <w:rPr>
                <w:rFonts w:hint="eastAsia"/>
              </w:rPr>
              <w:t>专业</w:t>
            </w:r>
          </w:p>
          <w:p>
            <w:pPr>
              <w:ind w:firstLine="0" w:firstLineChars="0"/>
            </w:pPr>
            <w:r>
              <w:t>课</w:t>
            </w:r>
          </w:p>
        </w:tc>
        <w:tc>
          <w:tcPr>
            <w:tcW w:w="5794" w:type="dxa"/>
            <w:vAlign w:val="center"/>
          </w:tcPr>
          <w:p>
            <w:pPr>
              <w:ind w:firstLine="420"/>
              <w:rPr>
                <w:rFonts w:ascii="宋体" w:hAnsi="宋体"/>
                <w:kern w:val="0"/>
                <w:sz w:val="21"/>
                <w:szCs w:val="21"/>
              </w:rPr>
            </w:pPr>
            <w:r>
              <w:rPr>
                <w:rFonts w:hint="eastAsia" w:ascii="宋体" w:hAnsi="宋体"/>
                <w:kern w:val="0"/>
                <w:sz w:val="21"/>
                <w:szCs w:val="21"/>
              </w:rPr>
              <w:t>1. 通过</w:t>
            </w:r>
            <w:r>
              <w:rPr>
                <w:rFonts w:ascii="宋体" w:hAnsi="宋体"/>
                <w:kern w:val="0"/>
                <w:sz w:val="21"/>
                <w:szCs w:val="21"/>
              </w:rPr>
              <w:t>对</w:t>
            </w:r>
            <w:r>
              <w:rPr>
                <w:rFonts w:hint="eastAsia" w:ascii="宋体" w:hAnsi="宋体"/>
                <w:kern w:val="0"/>
                <w:sz w:val="21"/>
                <w:szCs w:val="21"/>
              </w:rPr>
              <w:t>本课程</w:t>
            </w:r>
            <w:r>
              <w:rPr>
                <w:rFonts w:ascii="宋体" w:hAnsi="宋体"/>
                <w:kern w:val="0"/>
                <w:sz w:val="21"/>
                <w:szCs w:val="21"/>
              </w:rPr>
              <w:t>的学习，使学生</w:t>
            </w:r>
            <w:r>
              <w:rPr>
                <w:rFonts w:hint="eastAsia" w:ascii="宋体" w:hAnsi="宋体"/>
                <w:kern w:val="0"/>
                <w:sz w:val="21"/>
                <w:szCs w:val="21"/>
              </w:rPr>
              <w:t>了解</w:t>
            </w:r>
            <w:r>
              <w:rPr>
                <w:rFonts w:ascii="宋体" w:hAnsi="宋体"/>
                <w:kern w:val="0"/>
                <w:sz w:val="21"/>
                <w:szCs w:val="21"/>
              </w:rPr>
              <w:t>锅炉、压力容器、压力管道、电梯、起重机械、客运索道、大型游乐设施等特种设备的安全管理及日常维护、质量检验等</w:t>
            </w:r>
            <w:r>
              <w:rPr>
                <w:rFonts w:hint="eastAsia" w:ascii="宋体" w:hAnsi="宋体"/>
                <w:kern w:val="0"/>
                <w:sz w:val="21"/>
                <w:szCs w:val="21"/>
              </w:rPr>
              <w:t>专业</w:t>
            </w:r>
            <w:r>
              <w:rPr>
                <w:rFonts w:ascii="宋体" w:hAnsi="宋体"/>
                <w:kern w:val="0"/>
                <w:sz w:val="21"/>
                <w:szCs w:val="21"/>
              </w:rPr>
              <w:t>知识，掌握特种设备的所需的安全生产知识</w:t>
            </w:r>
            <w:r>
              <w:rPr>
                <w:rFonts w:hint="eastAsia" w:ascii="宋体" w:hAnsi="宋体"/>
                <w:kern w:val="0"/>
                <w:sz w:val="21"/>
                <w:szCs w:val="21"/>
              </w:rPr>
              <w:t>，</w:t>
            </w:r>
            <w:r>
              <w:rPr>
                <w:rFonts w:ascii="宋体" w:hAnsi="宋体"/>
                <w:kern w:val="0"/>
                <w:sz w:val="21"/>
                <w:szCs w:val="21"/>
              </w:rPr>
              <w:t>提高</w:t>
            </w:r>
            <w:r>
              <w:rPr>
                <w:rFonts w:hint="eastAsia" w:ascii="宋体" w:hAnsi="宋体"/>
                <w:kern w:val="0"/>
                <w:sz w:val="21"/>
                <w:szCs w:val="21"/>
              </w:rPr>
              <w:t>学生</w:t>
            </w:r>
            <w:r>
              <w:rPr>
                <w:rFonts w:ascii="宋体" w:hAnsi="宋体"/>
                <w:kern w:val="0"/>
                <w:sz w:val="21"/>
                <w:szCs w:val="21"/>
              </w:rPr>
              <w:t>安全</w:t>
            </w:r>
            <w:r>
              <w:rPr>
                <w:rFonts w:hint="eastAsia" w:ascii="宋体" w:hAnsi="宋体"/>
                <w:kern w:val="0"/>
                <w:sz w:val="21"/>
                <w:szCs w:val="21"/>
              </w:rPr>
              <w:t>生产</w:t>
            </w:r>
            <w:r>
              <w:rPr>
                <w:rFonts w:ascii="宋体" w:hAnsi="宋体"/>
                <w:kern w:val="0"/>
                <w:sz w:val="21"/>
                <w:szCs w:val="21"/>
              </w:rPr>
              <w:t>技能，增强事故预防和应急处理能力。</w:t>
            </w:r>
          </w:p>
        </w:tc>
        <w:tc>
          <w:tcPr>
            <w:tcW w:w="851" w:type="dxa"/>
            <w:vAlign w:val="center"/>
          </w:tcPr>
          <w:p>
            <w:pPr>
              <w:spacing w:line="240" w:lineRule="auto"/>
              <w:ind w:firstLine="0" w:firstLineChars="0"/>
              <w:jc w:val="distribute"/>
              <w:rPr>
                <w:rFonts w:ascii="宋体" w:hAnsi="宋体"/>
                <w:sz w:val="21"/>
                <w:szCs w:val="21"/>
              </w:rPr>
            </w:pPr>
            <w:r>
              <w:rPr>
                <w:rFonts w:ascii="宋体" w:hAnsi="宋体" w:cs="宋体"/>
                <w:kern w:val="1"/>
                <w:sz w:val="21"/>
                <w:szCs w:val="21"/>
              </w:rPr>
              <w:t>特种设备安全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0"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2. </w:t>
            </w:r>
            <w:r>
              <w:rPr>
                <w:rFonts w:hint="eastAsia" w:ascii="宋体" w:hAnsi="宋体"/>
                <w:kern w:val="0"/>
                <w:sz w:val="21"/>
                <w:szCs w:val="21"/>
              </w:rPr>
              <w:t>通过本课程</w:t>
            </w:r>
            <w:r>
              <w:rPr>
                <w:rFonts w:ascii="宋体" w:hAnsi="宋体"/>
                <w:kern w:val="0"/>
                <w:sz w:val="21"/>
                <w:szCs w:val="21"/>
              </w:rPr>
              <w:t>的学习，使学生了解危险性分析与应急响应分级、应急救援通信与信息和事故应急救援装备配备与使用以及事故发生后的现场抢险处置方法，</w:t>
            </w:r>
            <w:r>
              <w:fldChar w:fldCharType="begin"/>
            </w:r>
            <w:r>
              <w:instrText xml:space="preserve"> HYPERLINK "http://baike.sogou.com/lemma/ShowInnerLink.htm?lemmaId=6941354&amp;ss_c=ssc.citiao.link" \t "_blank" </w:instrText>
            </w:r>
            <w:r>
              <w:fldChar w:fldCharType="separate"/>
            </w:r>
            <w:r>
              <w:rPr>
                <w:rFonts w:ascii="宋体" w:hAnsi="宋体"/>
                <w:kern w:val="0"/>
                <w:sz w:val="21"/>
                <w:szCs w:val="21"/>
              </w:rPr>
              <w:t>现场急救</w:t>
            </w:r>
            <w:r>
              <w:rPr>
                <w:rFonts w:ascii="宋体" w:hAnsi="宋体"/>
                <w:kern w:val="0"/>
                <w:sz w:val="21"/>
                <w:szCs w:val="21"/>
              </w:rPr>
              <w:fldChar w:fldCharType="end"/>
            </w:r>
            <w:r>
              <w:rPr>
                <w:rFonts w:ascii="宋体" w:hAnsi="宋体"/>
                <w:kern w:val="0"/>
                <w:sz w:val="21"/>
                <w:szCs w:val="21"/>
              </w:rPr>
              <w:t>方法</w:t>
            </w:r>
            <w:r>
              <w:rPr>
                <w:rFonts w:hint="eastAsia" w:ascii="宋体" w:hAnsi="宋体"/>
                <w:kern w:val="0"/>
                <w:sz w:val="21"/>
                <w:szCs w:val="21"/>
              </w:rPr>
              <w:t>等知识</w:t>
            </w:r>
            <w:r>
              <w:rPr>
                <w:rFonts w:ascii="宋体" w:hAnsi="宋体"/>
                <w:kern w:val="0"/>
                <w:sz w:val="21"/>
                <w:szCs w:val="21"/>
              </w:rPr>
              <w:t>，学会识别安全事故，并有效预防安全事故的发生，当事故发生时，能</w:t>
            </w:r>
            <w:r>
              <w:rPr>
                <w:rFonts w:hint="eastAsia" w:ascii="宋体" w:hAnsi="宋体"/>
                <w:kern w:val="0"/>
                <w:sz w:val="21"/>
                <w:szCs w:val="21"/>
              </w:rPr>
              <w:t>正确</w:t>
            </w:r>
            <w:r>
              <w:rPr>
                <w:rFonts w:ascii="宋体" w:hAnsi="宋体"/>
                <w:kern w:val="0"/>
                <w:sz w:val="21"/>
                <w:szCs w:val="21"/>
              </w:rPr>
              <w:t>处置，</w:t>
            </w:r>
            <w:r>
              <w:rPr>
                <w:rFonts w:hint="eastAsia" w:ascii="宋体" w:hAnsi="宋体"/>
                <w:kern w:val="0"/>
                <w:sz w:val="21"/>
                <w:szCs w:val="21"/>
              </w:rPr>
              <w:t>把</w:t>
            </w:r>
            <w:r>
              <w:rPr>
                <w:rFonts w:ascii="宋体" w:hAnsi="宋体"/>
                <w:kern w:val="0"/>
                <w:sz w:val="21"/>
                <w:szCs w:val="21"/>
              </w:rPr>
              <w:t>损失降到最低。</w:t>
            </w:r>
          </w:p>
        </w:tc>
        <w:tc>
          <w:tcPr>
            <w:tcW w:w="851" w:type="dxa"/>
            <w:vAlign w:val="center"/>
          </w:tcPr>
          <w:p>
            <w:pPr>
              <w:spacing w:line="240" w:lineRule="auto"/>
              <w:ind w:firstLine="0" w:firstLineChars="0"/>
              <w:rPr>
                <w:rFonts w:ascii="宋体" w:hAnsi="宋体"/>
                <w:kern w:val="0"/>
                <w:sz w:val="21"/>
                <w:szCs w:val="21"/>
              </w:rPr>
            </w:pPr>
            <w:r>
              <w:rPr>
                <w:rFonts w:hint="eastAsia" w:ascii="宋体" w:hAnsi="宋体" w:cs="宋体"/>
                <w:kern w:val="1"/>
                <w:sz w:val="21"/>
                <w:szCs w:val="21"/>
              </w:rPr>
              <w:t>事故管理与应急处置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0"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3.通过本</w:t>
            </w:r>
            <w:r>
              <w:rPr>
                <w:rFonts w:ascii="宋体" w:hAnsi="宋体"/>
                <w:kern w:val="0"/>
                <w:sz w:val="21"/>
                <w:szCs w:val="21"/>
              </w:rPr>
              <w:t>课程的学习，使学生掌握燃烧和爆炸的基本原理，熟悉防火防爆技术与措施</w:t>
            </w:r>
            <w:r>
              <w:rPr>
                <w:rFonts w:hint="eastAsia" w:ascii="宋体" w:hAnsi="宋体"/>
                <w:kern w:val="0"/>
                <w:sz w:val="21"/>
                <w:szCs w:val="21"/>
              </w:rPr>
              <w:t>、</w:t>
            </w:r>
            <w:r>
              <w:rPr>
                <w:rFonts w:ascii="宋体" w:hAnsi="宋体"/>
                <w:kern w:val="0"/>
                <w:sz w:val="21"/>
                <w:szCs w:val="21"/>
              </w:rPr>
              <w:t>危险化学品和典型场所的防火防爆</w:t>
            </w:r>
            <w:r>
              <w:rPr>
                <w:rFonts w:hint="eastAsia" w:ascii="宋体" w:hAnsi="宋体"/>
                <w:kern w:val="0"/>
                <w:sz w:val="21"/>
                <w:szCs w:val="21"/>
              </w:rPr>
              <w:t>、</w:t>
            </w:r>
            <w:r>
              <w:rPr>
                <w:rFonts w:ascii="宋体" w:hAnsi="宋体"/>
                <w:kern w:val="0"/>
                <w:sz w:val="21"/>
                <w:szCs w:val="21"/>
              </w:rPr>
              <w:t>火灾与爆炸</w:t>
            </w:r>
            <w:r>
              <w:rPr>
                <w:rFonts w:hint="eastAsia" w:ascii="宋体" w:hAnsi="宋体"/>
                <w:kern w:val="0"/>
                <w:sz w:val="21"/>
                <w:szCs w:val="21"/>
              </w:rPr>
              <w:t>事故</w:t>
            </w:r>
            <w:r>
              <w:rPr>
                <w:rFonts w:ascii="宋体" w:hAnsi="宋体"/>
                <w:kern w:val="0"/>
                <w:sz w:val="21"/>
                <w:szCs w:val="21"/>
              </w:rPr>
              <w:t>管理和现场</w:t>
            </w:r>
            <w:r>
              <w:rPr>
                <w:rFonts w:hint="eastAsia" w:ascii="宋体" w:hAnsi="宋体"/>
                <w:kern w:val="0"/>
                <w:sz w:val="21"/>
                <w:szCs w:val="21"/>
              </w:rPr>
              <w:t>处置</w:t>
            </w:r>
            <w:r>
              <w:rPr>
                <w:rFonts w:ascii="宋体" w:hAnsi="宋体"/>
                <w:kern w:val="0"/>
                <w:sz w:val="21"/>
                <w:szCs w:val="21"/>
              </w:rPr>
              <w:t>的</w:t>
            </w:r>
            <w:r>
              <w:rPr>
                <w:rFonts w:hint="eastAsia" w:ascii="宋体" w:hAnsi="宋体"/>
                <w:kern w:val="0"/>
                <w:sz w:val="21"/>
                <w:szCs w:val="21"/>
              </w:rPr>
              <w:t>能力。</w:t>
            </w:r>
          </w:p>
        </w:tc>
        <w:tc>
          <w:tcPr>
            <w:tcW w:w="851" w:type="dxa"/>
            <w:vAlign w:val="center"/>
          </w:tcPr>
          <w:p>
            <w:pPr>
              <w:spacing w:line="240" w:lineRule="auto"/>
              <w:ind w:firstLine="0" w:firstLineChars="0"/>
              <w:rPr>
                <w:rFonts w:ascii="宋体" w:hAnsi="宋体" w:cs="宋体"/>
                <w:kern w:val="1"/>
                <w:sz w:val="21"/>
                <w:szCs w:val="21"/>
              </w:rPr>
            </w:pPr>
            <w:r>
              <w:rPr>
                <w:rFonts w:ascii="宋体" w:hAnsi="宋体" w:cs="宋体"/>
                <w:kern w:val="1"/>
                <w:sz w:val="21"/>
                <w:szCs w:val="21"/>
              </w:rPr>
              <w:t>防火防爆</w:t>
            </w:r>
            <w:r>
              <w:rPr>
                <w:rFonts w:hint="eastAsia" w:ascii="宋体" w:hAnsi="宋体" w:cs="宋体"/>
                <w:kern w:val="1"/>
                <w:sz w:val="21"/>
                <w:szCs w:val="21"/>
              </w:rPr>
              <w:t>技 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0"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4. 通过</w:t>
            </w:r>
            <w:r>
              <w:rPr>
                <w:rFonts w:ascii="宋体" w:hAnsi="宋体"/>
                <w:kern w:val="0"/>
                <w:sz w:val="21"/>
                <w:szCs w:val="21"/>
              </w:rPr>
              <w:t>本课程的学习，使学生了解供配电系统及建筑物</w:t>
            </w:r>
            <w:r>
              <w:rPr>
                <w:rFonts w:hint="eastAsia" w:ascii="宋体" w:hAnsi="宋体"/>
                <w:kern w:val="0"/>
                <w:sz w:val="21"/>
                <w:szCs w:val="21"/>
              </w:rPr>
              <w:t>内</w:t>
            </w:r>
            <w:r>
              <w:rPr>
                <w:rFonts w:ascii="宋体" w:hAnsi="宋体"/>
                <w:kern w:val="0"/>
                <w:sz w:val="21"/>
                <w:szCs w:val="21"/>
              </w:rPr>
              <w:t>电气危害产生的途径与种类，初步了解</w:t>
            </w:r>
            <w:r>
              <w:rPr>
                <w:rFonts w:hint="eastAsia" w:ascii="宋体" w:hAnsi="宋体"/>
                <w:kern w:val="0"/>
                <w:sz w:val="21"/>
                <w:szCs w:val="21"/>
              </w:rPr>
              <w:t>分析</w:t>
            </w:r>
            <w:r>
              <w:rPr>
                <w:rFonts w:ascii="宋体" w:hAnsi="宋体"/>
                <w:kern w:val="0"/>
                <w:sz w:val="21"/>
                <w:szCs w:val="21"/>
              </w:rPr>
              <w:t>电气危害的基本</w:t>
            </w:r>
            <w:r>
              <w:rPr>
                <w:rFonts w:hint="eastAsia" w:ascii="宋体" w:hAnsi="宋体"/>
                <w:kern w:val="0"/>
                <w:sz w:val="21"/>
                <w:szCs w:val="21"/>
              </w:rPr>
              <w:t>理论</w:t>
            </w:r>
            <w:r>
              <w:rPr>
                <w:rFonts w:ascii="宋体" w:hAnsi="宋体"/>
                <w:kern w:val="0"/>
                <w:sz w:val="21"/>
                <w:szCs w:val="21"/>
              </w:rPr>
              <w:t>，掌握电击防护、雷电防护、</w:t>
            </w:r>
            <w:r>
              <w:rPr>
                <w:rFonts w:hint="eastAsia" w:ascii="宋体" w:hAnsi="宋体"/>
                <w:kern w:val="0"/>
                <w:sz w:val="21"/>
                <w:szCs w:val="21"/>
              </w:rPr>
              <w:t>静电</w:t>
            </w:r>
            <w:r>
              <w:rPr>
                <w:rFonts w:ascii="宋体" w:hAnsi="宋体"/>
                <w:kern w:val="0"/>
                <w:sz w:val="21"/>
                <w:szCs w:val="21"/>
              </w:rPr>
              <w:t>防护的工程方法，建立电气安全的概念，为今后的学习和工作打下良好的基础。</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电气</w:t>
            </w:r>
            <w:r>
              <w:rPr>
                <w:rFonts w:ascii="宋体" w:hAnsi="宋体" w:cs="宋体"/>
                <w:kern w:val="1"/>
                <w:sz w:val="21"/>
                <w:szCs w:val="21"/>
              </w:rPr>
              <w:t>安全</w:t>
            </w:r>
            <w:r>
              <w:rPr>
                <w:rFonts w:hint="eastAsia" w:ascii="宋体" w:hAnsi="宋体" w:cs="宋体"/>
                <w:kern w:val="1"/>
                <w:sz w:val="21"/>
                <w:szCs w:val="21"/>
              </w:rPr>
              <w:t>技 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5.通过</w:t>
            </w:r>
            <w:r>
              <w:rPr>
                <w:rFonts w:ascii="宋体" w:hAnsi="宋体"/>
                <w:kern w:val="0"/>
                <w:sz w:val="21"/>
                <w:szCs w:val="21"/>
              </w:rPr>
              <w:t>职业病危害因素识别、评价与控制，不同行业作业场所的职业危害与特点，主要的职业卫生法律、法规和标准，用人单位职业卫生职责，国外职业卫生监督管理等知识</w:t>
            </w:r>
            <w:r>
              <w:rPr>
                <w:rFonts w:hint="eastAsia" w:ascii="宋体" w:hAnsi="宋体"/>
                <w:kern w:val="0"/>
                <w:sz w:val="21"/>
                <w:szCs w:val="21"/>
              </w:rPr>
              <w:t>的</w:t>
            </w:r>
            <w:r>
              <w:rPr>
                <w:rFonts w:ascii="宋体" w:hAnsi="宋体"/>
                <w:kern w:val="0"/>
                <w:sz w:val="21"/>
                <w:szCs w:val="21"/>
              </w:rPr>
              <w:t>学习，</w:t>
            </w:r>
            <w:r>
              <w:rPr>
                <w:rFonts w:hint="eastAsia" w:ascii="宋体" w:hAnsi="宋体"/>
                <w:kern w:val="0"/>
                <w:sz w:val="21"/>
                <w:szCs w:val="21"/>
              </w:rPr>
              <w:t>使</w:t>
            </w:r>
            <w:r>
              <w:rPr>
                <w:rFonts w:ascii="宋体" w:hAnsi="宋体"/>
                <w:kern w:val="0"/>
                <w:sz w:val="21"/>
                <w:szCs w:val="21"/>
              </w:rPr>
              <w:t>学生掌握一定的职业安全卫生知识，为今后从事相关工作打下基础。</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职业卫生</w:t>
            </w:r>
            <w:r>
              <w:rPr>
                <w:rFonts w:ascii="宋体" w:hAnsi="宋体" w:cs="宋体"/>
                <w:kern w:val="1"/>
                <w:sz w:val="21"/>
                <w:szCs w:val="21"/>
              </w:rPr>
              <w:t>基础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6.通过本次课程的</w:t>
            </w:r>
            <w:r>
              <w:rPr>
                <w:rFonts w:ascii="宋体" w:hAnsi="宋体"/>
                <w:kern w:val="0"/>
                <w:sz w:val="21"/>
                <w:szCs w:val="21"/>
              </w:rPr>
              <w:t>学习</w:t>
            </w:r>
            <w:r>
              <w:rPr>
                <w:rFonts w:hint="eastAsia" w:ascii="宋体" w:hAnsi="宋体"/>
                <w:kern w:val="0"/>
                <w:sz w:val="21"/>
                <w:szCs w:val="21"/>
              </w:rPr>
              <w:t>，使学生进一步巩固所学的安全系统工程基础知识和深入理解各种不同的系统安全分析方法，并能熟悉系统安全评价的基本步骤。学生应能运用所掌握的系统安全分析方法对实际工程中的不同生产系统进行安全分析和安全评价，并能针对所分析的实际系统提出有效的系统安全管理方法，从而提高自己运用安全系统工程的理论知识分析和解决实际问题的能力。</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安全</w:t>
            </w:r>
            <w:r>
              <w:rPr>
                <w:rFonts w:ascii="宋体" w:hAnsi="宋体" w:cs="宋体"/>
                <w:kern w:val="1"/>
                <w:sz w:val="21"/>
                <w:szCs w:val="21"/>
              </w:rPr>
              <w:t>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55"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7.通过本</w:t>
            </w:r>
            <w:r>
              <w:rPr>
                <w:rFonts w:ascii="宋体" w:hAnsi="宋体"/>
                <w:kern w:val="0"/>
                <w:sz w:val="21"/>
                <w:szCs w:val="21"/>
              </w:rPr>
              <w:t>课程的学习，</w:t>
            </w:r>
            <w:r>
              <w:rPr>
                <w:rFonts w:hint="eastAsia" w:ascii="宋体" w:hAnsi="宋体"/>
                <w:kern w:val="0"/>
                <w:sz w:val="21"/>
                <w:szCs w:val="21"/>
              </w:rPr>
              <w:t>培养学生具有监测监控基础理论知识，通晓煤矿生产安全监测与监控的基本原理；掌握煤矿生产中各种安全监测与监控设备的结构、原理、使用及维护，使学生具备独立安全监测与监控设备的选型设计、现场配置设计的</w:t>
            </w:r>
            <w:r>
              <w:rPr>
                <w:rFonts w:ascii="宋体" w:hAnsi="宋体"/>
                <w:kern w:val="0"/>
                <w:sz w:val="21"/>
                <w:szCs w:val="21"/>
              </w:rPr>
              <w:t>能力</w:t>
            </w:r>
            <w:r>
              <w:rPr>
                <w:rFonts w:hint="eastAsia" w:ascii="宋体" w:hAnsi="宋体"/>
                <w:kern w:val="0"/>
                <w:sz w:val="21"/>
                <w:szCs w:val="21"/>
              </w:rPr>
              <w:t>。</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安全</w:t>
            </w:r>
            <w:r>
              <w:rPr>
                <w:rFonts w:ascii="宋体" w:hAnsi="宋体" w:cs="宋体"/>
                <w:kern w:val="1"/>
                <w:sz w:val="21"/>
                <w:szCs w:val="21"/>
              </w:rPr>
              <w:t>监测与监控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8.通过本</w:t>
            </w:r>
            <w:r>
              <w:rPr>
                <w:rFonts w:ascii="宋体" w:hAnsi="宋体"/>
                <w:kern w:val="0"/>
                <w:sz w:val="21"/>
                <w:szCs w:val="21"/>
              </w:rPr>
              <w:t>课程的学习，使学生了解安全生产法律基础知识、安全生产立法的必要性及其重要意义、我国安全生产法律体系的基本框架，重点掌握安全生产法、矿山安全法、消防法、道路交通安全法、行政处罚法、劳动法、职业病防治法及与安全生产相关的行政法规，为学生以后从事安全生产管理和行政执法奠定良好的法律基础。</w:t>
            </w:r>
          </w:p>
        </w:tc>
        <w:tc>
          <w:tcPr>
            <w:tcW w:w="851" w:type="dxa"/>
            <w:vAlign w:val="center"/>
          </w:tcPr>
          <w:p>
            <w:pPr>
              <w:spacing w:line="240" w:lineRule="auto"/>
              <w:ind w:firstLine="0" w:firstLineChars="0"/>
              <w:rPr>
                <w:rFonts w:ascii="宋体" w:hAnsi="宋体"/>
                <w:kern w:val="0"/>
                <w:sz w:val="21"/>
                <w:szCs w:val="21"/>
              </w:rPr>
            </w:pPr>
            <w:r>
              <w:rPr>
                <w:rFonts w:hint="eastAsia" w:ascii="宋体" w:hAnsi="宋体" w:cs="宋体"/>
                <w:kern w:val="1"/>
                <w:sz w:val="21"/>
                <w:szCs w:val="21"/>
              </w:rPr>
              <w:t>安全</w:t>
            </w:r>
            <w:r>
              <w:rPr>
                <w:rFonts w:ascii="宋体" w:hAnsi="宋体" w:cs="宋体"/>
                <w:kern w:val="1"/>
                <w:sz w:val="21"/>
                <w:szCs w:val="21"/>
              </w:rPr>
              <w:t>法规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15"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9.通过本课程的学习，使学生在学习了工程管理专业所必须的技术、经济、管理等相关专业基础课程的基础上，掌握工程项目管理的基本理论和工程项目投资控制、进度控制、质量控制的基本方法，熟悉各种具体的项目管理技术、方法在工程项目上的应用特点，为学生建立管理工程项目所需的知识、技术和方法体系，培养学生发现、分析、研究、解决工程项目管理实际问题的基本能力。</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工程</w:t>
            </w:r>
            <w:r>
              <w:rPr>
                <w:rFonts w:ascii="宋体" w:hAnsi="宋体" w:cs="宋体"/>
                <w:kern w:val="1"/>
                <w:sz w:val="21"/>
                <w:szCs w:val="21"/>
              </w:rPr>
              <w:t>项目管理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15"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6"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10. 通过本课程的学习，使学生了解</w:t>
            </w:r>
            <w:r>
              <w:rPr>
                <w:rFonts w:ascii="宋体" w:hAnsi="宋体"/>
                <w:kern w:val="0"/>
                <w:sz w:val="21"/>
                <w:szCs w:val="21"/>
              </w:rPr>
              <w:t>和掌握</w:t>
            </w:r>
            <w:r>
              <w:rPr>
                <w:rFonts w:hint="eastAsia" w:ascii="宋体" w:hAnsi="宋体"/>
                <w:kern w:val="0"/>
                <w:sz w:val="21"/>
                <w:szCs w:val="21"/>
              </w:rPr>
              <w:t>高危行业的生产“必须安全第一”</w:t>
            </w:r>
            <w:r>
              <w:rPr>
                <w:rFonts w:ascii="宋体" w:hAnsi="宋体"/>
                <w:kern w:val="0"/>
                <w:sz w:val="21"/>
                <w:szCs w:val="21"/>
              </w:rPr>
              <w:t>的重要性</w:t>
            </w:r>
            <w:r>
              <w:rPr>
                <w:rFonts w:hint="eastAsia" w:ascii="宋体" w:hAnsi="宋体"/>
                <w:kern w:val="0"/>
                <w:sz w:val="21"/>
                <w:szCs w:val="21"/>
              </w:rPr>
              <w:t>，理解“安全为了生产，生产必须安全”，掌握科学安全生产管理以及加强安全设施建设的</w:t>
            </w:r>
            <w:r>
              <w:rPr>
                <w:rFonts w:ascii="宋体" w:hAnsi="宋体"/>
                <w:kern w:val="0"/>
                <w:sz w:val="21"/>
                <w:szCs w:val="21"/>
              </w:rPr>
              <w:t>意义</w:t>
            </w:r>
            <w:r>
              <w:rPr>
                <w:rFonts w:hint="eastAsia" w:ascii="宋体" w:hAnsi="宋体"/>
                <w:kern w:val="0"/>
                <w:sz w:val="21"/>
                <w:szCs w:val="21"/>
              </w:rPr>
              <w:t>。</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高危行</w:t>
            </w:r>
            <w:r>
              <w:rPr>
                <w:rFonts w:ascii="宋体" w:hAnsi="宋体" w:cs="宋体"/>
                <w:kern w:val="1"/>
                <w:sz w:val="21"/>
                <w:szCs w:val="21"/>
              </w:rPr>
              <w:t>业安全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restart"/>
            <w:tcBorders>
              <w:top w:val="single" w:color="auto" w:sz="6" w:space="0"/>
              <w:bottom w:val="single" w:color="auto" w:sz="12" w:space="0"/>
            </w:tcBorders>
            <w:vAlign w:val="center"/>
          </w:tcPr>
          <w:p>
            <w:pPr>
              <w:ind w:firstLine="0" w:firstLineChars="0"/>
            </w:pPr>
            <w:r>
              <w:rPr>
                <w:rFonts w:hint="eastAsia"/>
              </w:rPr>
              <w:t>2</w:t>
            </w:r>
            <w:r>
              <w:t>.</w:t>
            </w:r>
            <w:r>
              <w:rPr>
                <w:rFonts w:hint="eastAsia"/>
              </w:rPr>
              <w:t>综合</w:t>
            </w:r>
          </w:p>
          <w:p>
            <w:pPr>
              <w:ind w:firstLine="0" w:firstLineChars="0"/>
            </w:pPr>
            <w:r>
              <w:t>实践</w:t>
            </w:r>
          </w:p>
        </w:tc>
        <w:tc>
          <w:tcPr>
            <w:tcW w:w="5794" w:type="dxa"/>
            <w:vAlign w:val="center"/>
          </w:tcPr>
          <w:p>
            <w:pPr>
              <w:ind w:firstLine="420"/>
              <w:rPr>
                <w:rFonts w:ascii="宋体" w:hAnsi="宋体"/>
                <w:kern w:val="0"/>
                <w:sz w:val="21"/>
                <w:szCs w:val="21"/>
              </w:rPr>
            </w:pPr>
            <w:r>
              <w:rPr>
                <w:rFonts w:hint="eastAsia" w:ascii="宋体" w:hAnsi="宋体"/>
                <w:kern w:val="0"/>
                <w:sz w:val="21"/>
                <w:szCs w:val="21"/>
              </w:rPr>
              <w:t>1. 让学生进一步巩固和加深理解所学的专业理论知识，开阔视野、扩大学生的知识面，并使学生具有综合运用所学的专业知识，独立完成职业岗位工作及解决工程实际问题的能力，为毕业后提升职业岗位能力创造条件</w:t>
            </w:r>
            <w:r>
              <w:rPr>
                <w:rFonts w:ascii="宋体" w:hAnsi="宋体"/>
                <w:kern w:val="0"/>
                <w:sz w:val="21"/>
                <w:szCs w:val="21"/>
              </w:rPr>
              <w:t>。</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毕业实 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numPr>
                <w:ilvl w:val="0"/>
                <w:numId w:val="4"/>
              </w:numPr>
              <w:spacing w:line="240" w:lineRule="auto"/>
              <w:ind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2. </w:t>
            </w:r>
            <w:r>
              <w:rPr>
                <w:rFonts w:hint="eastAsia" w:ascii="宋体" w:hAnsi="宋体"/>
                <w:kern w:val="0"/>
                <w:sz w:val="21"/>
                <w:szCs w:val="21"/>
              </w:rPr>
              <w:t>本课程设计的目的主要是为了掌握管道摩擦阻力、局部阻力计算，管道压力分布分析计算、管道尺寸计算的约束条件、设计计算方法、均匀送风管道的计算，要求学生认真、细致、熟练掌握通风除尘系统的设计计算方法。</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工业通风除尘课程设 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numPr>
                <w:ilvl w:val="0"/>
                <w:numId w:val="4"/>
              </w:numPr>
              <w:spacing w:line="240" w:lineRule="auto"/>
              <w:ind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3. </w:t>
            </w:r>
            <w:r>
              <w:rPr>
                <w:rFonts w:hint="eastAsia" w:ascii="宋体" w:hAnsi="宋体"/>
                <w:kern w:val="0"/>
                <w:sz w:val="21"/>
                <w:szCs w:val="21"/>
              </w:rPr>
              <w:t>通过本课程</w:t>
            </w:r>
            <w:r>
              <w:rPr>
                <w:rFonts w:ascii="宋体" w:hAnsi="宋体"/>
                <w:kern w:val="0"/>
                <w:sz w:val="21"/>
                <w:szCs w:val="21"/>
              </w:rPr>
              <w:t>的学习，使</w:t>
            </w:r>
            <w:r>
              <w:rPr>
                <w:rFonts w:hint="eastAsia" w:ascii="宋体" w:hAnsi="宋体"/>
                <w:kern w:val="0"/>
                <w:sz w:val="21"/>
                <w:szCs w:val="21"/>
              </w:rPr>
              <w:t>学生能够运用各种火灾探测器、控制器的知识，完成火灾消防监控系统中监测系统、灭火系统、消防电话系统、消防广播系统等各分系统的设计，以便进一步理解火灾探测与控制的基本原理，了解火灾监测监控系统设计的步骤和方法，培养学生初步设计小型火灾监测监控系统方案的能力。</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防火防爆课程设 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7"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numPr>
                <w:ilvl w:val="0"/>
                <w:numId w:val="4"/>
              </w:numPr>
              <w:spacing w:line="240" w:lineRule="auto"/>
              <w:ind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4. </w:t>
            </w:r>
            <w:r>
              <w:rPr>
                <w:rFonts w:hint="eastAsia" w:ascii="宋体" w:hAnsi="宋体"/>
                <w:kern w:val="0"/>
                <w:sz w:val="21"/>
                <w:szCs w:val="21"/>
              </w:rPr>
              <w:t>通过</w:t>
            </w:r>
            <w:r>
              <w:rPr>
                <w:rFonts w:ascii="宋体" w:hAnsi="宋体"/>
                <w:kern w:val="0"/>
                <w:sz w:val="21"/>
                <w:szCs w:val="21"/>
              </w:rPr>
              <w:t>本课程的学习，使学生了解安全评价原理、方法和编写安全</w:t>
            </w:r>
            <w:r>
              <w:rPr>
                <w:rFonts w:hint="eastAsia" w:ascii="宋体" w:hAnsi="宋体"/>
                <w:kern w:val="0"/>
                <w:sz w:val="21"/>
                <w:szCs w:val="21"/>
              </w:rPr>
              <w:t>评价</w:t>
            </w:r>
            <w:r>
              <w:rPr>
                <w:rFonts w:ascii="宋体" w:hAnsi="宋体"/>
                <w:kern w:val="0"/>
                <w:sz w:val="21"/>
                <w:szCs w:val="21"/>
              </w:rPr>
              <w:t>报告的内容</w:t>
            </w:r>
            <w:r>
              <w:rPr>
                <w:rFonts w:hint="eastAsia" w:ascii="宋体" w:hAnsi="宋体"/>
                <w:kern w:val="0"/>
                <w:sz w:val="21"/>
                <w:szCs w:val="21"/>
              </w:rPr>
              <w:t>、</w:t>
            </w:r>
            <w:r>
              <w:rPr>
                <w:rFonts w:ascii="宋体" w:hAnsi="宋体"/>
                <w:kern w:val="0"/>
                <w:sz w:val="21"/>
                <w:szCs w:val="21"/>
              </w:rPr>
              <w:t>要求</w:t>
            </w:r>
            <w:r>
              <w:rPr>
                <w:rFonts w:hint="eastAsia" w:ascii="宋体" w:hAnsi="宋体"/>
                <w:kern w:val="0"/>
                <w:sz w:val="21"/>
                <w:szCs w:val="21"/>
              </w:rPr>
              <w:t>，</w:t>
            </w:r>
            <w:r>
              <w:rPr>
                <w:rFonts w:ascii="宋体" w:hAnsi="宋体"/>
                <w:kern w:val="0"/>
                <w:sz w:val="21"/>
                <w:szCs w:val="21"/>
              </w:rPr>
              <w:t>并能用安全评价知识解决安全生产实际问题</w:t>
            </w:r>
            <w:r>
              <w:rPr>
                <w:rFonts w:hint="eastAsia" w:ascii="宋体" w:hAnsi="宋体"/>
                <w:kern w:val="0"/>
                <w:sz w:val="21"/>
                <w:szCs w:val="21"/>
              </w:rPr>
              <w:t>。</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安全</w:t>
            </w:r>
            <w:r>
              <w:rPr>
                <w:rFonts w:ascii="宋体" w:hAnsi="宋体" w:cs="宋体"/>
                <w:kern w:val="1"/>
                <w:sz w:val="21"/>
                <w:szCs w:val="21"/>
              </w:rPr>
              <w:t>评价课程设计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55"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6"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hint="eastAsia" w:ascii="宋体" w:hAnsi="宋体"/>
                <w:kern w:val="0"/>
                <w:sz w:val="21"/>
                <w:szCs w:val="21"/>
              </w:rPr>
              <w:t>5.通过本</w:t>
            </w:r>
            <w:r>
              <w:rPr>
                <w:rFonts w:ascii="宋体" w:hAnsi="宋体"/>
                <w:kern w:val="0"/>
                <w:sz w:val="21"/>
                <w:szCs w:val="21"/>
              </w:rPr>
              <w:t>课程</w:t>
            </w:r>
            <w:r>
              <w:rPr>
                <w:rFonts w:hint="eastAsia" w:ascii="宋体" w:hAnsi="宋体"/>
                <w:kern w:val="0"/>
                <w:sz w:val="21"/>
                <w:szCs w:val="21"/>
              </w:rPr>
              <w:t>的</w:t>
            </w:r>
            <w:r>
              <w:rPr>
                <w:rFonts w:ascii="宋体" w:hAnsi="宋体"/>
                <w:kern w:val="0"/>
                <w:sz w:val="21"/>
                <w:szCs w:val="21"/>
              </w:rPr>
              <w:t>学习，</w:t>
            </w:r>
            <w:r>
              <w:rPr>
                <w:rFonts w:hint="eastAsia" w:ascii="宋体" w:hAnsi="宋体"/>
                <w:kern w:val="0"/>
                <w:sz w:val="21"/>
                <w:szCs w:val="21"/>
              </w:rPr>
              <w:t>使</w:t>
            </w:r>
            <w:r>
              <w:rPr>
                <w:rFonts w:ascii="宋体" w:hAnsi="宋体"/>
                <w:kern w:val="0"/>
                <w:sz w:val="21"/>
                <w:szCs w:val="21"/>
              </w:rPr>
              <w:t>学生了解</w:t>
            </w:r>
            <w:r>
              <w:rPr>
                <w:rFonts w:hint="eastAsia" w:ascii="宋体" w:hAnsi="宋体"/>
                <w:kern w:val="0"/>
                <w:sz w:val="21"/>
                <w:szCs w:val="21"/>
              </w:rPr>
              <w:t>环境监测、健康监护、实验室测试等手段，对危害因素的潜在作用进行定性和定量的鉴定和评价，推断它在多大剂量（浓度）和何种条件下可能构成损害；探讨其损害性质；并估测其在一般接触条件下可能造成损害的程度和概率。</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职业危害因素分析与评价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8"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restart"/>
            <w:tcBorders>
              <w:top w:val="single" w:color="auto" w:sz="6" w:space="0"/>
              <w:bottom w:val="single" w:color="auto" w:sz="12" w:space="0"/>
            </w:tcBorders>
            <w:vAlign w:val="center"/>
          </w:tcPr>
          <w:p>
            <w:pPr>
              <w:ind w:firstLine="0" w:firstLineChars="0"/>
            </w:pPr>
            <w:r>
              <w:rPr>
                <w:rFonts w:hint="eastAsia"/>
              </w:rPr>
              <w:t>3</w:t>
            </w:r>
            <w:r>
              <w:t>.</w:t>
            </w:r>
            <w:r>
              <w:rPr>
                <w:rFonts w:hint="eastAsia"/>
              </w:rPr>
              <w:t>特色</w:t>
            </w:r>
          </w:p>
          <w:p>
            <w:pPr>
              <w:ind w:firstLine="0" w:firstLineChars="0"/>
            </w:pPr>
            <w:r>
              <w:t>课</w:t>
            </w:r>
          </w:p>
        </w:tc>
        <w:tc>
          <w:tcPr>
            <w:tcW w:w="5794" w:type="dxa"/>
            <w:vAlign w:val="center"/>
          </w:tcPr>
          <w:p>
            <w:pPr>
              <w:ind w:firstLine="420"/>
              <w:rPr>
                <w:rFonts w:ascii="宋体" w:hAnsi="宋体"/>
                <w:kern w:val="0"/>
                <w:sz w:val="21"/>
                <w:szCs w:val="21"/>
              </w:rPr>
            </w:pPr>
            <w:r>
              <w:rPr>
                <w:rFonts w:ascii="宋体" w:hAnsi="宋体"/>
                <w:kern w:val="0"/>
                <w:sz w:val="21"/>
                <w:szCs w:val="21"/>
              </w:rPr>
              <w:t>1. 通过</w:t>
            </w:r>
            <w:r>
              <w:rPr>
                <w:rFonts w:hint="eastAsia" w:ascii="宋体" w:hAnsi="宋体"/>
                <w:kern w:val="0"/>
                <w:sz w:val="21"/>
                <w:szCs w:val="21"/>
              </w:rPr>
              <w:t>学习</w:t>
            </w:r>
            <w:r>
              <w:rPr>
                <w:rFonts w:ascii="宋体" w:hAnsi="宋体"/>
                <w:kern w:val="0"/>
                <w:sz w:val="21"/>
                <w:szCs w:val="21"/>
              </w:rPr>
              <w:t>，使</w:t>
            </w:r>
            <w:r>
              <w:rPr>
                <w:rFonts w:hint="eastAsia" w:ascii="宋体" w:hAnsi="宋体"/>
                <w:kern w:val="0"/>
                <w:sz w:val="21"/>
                <w:szCs w:val="21"/>
              </w:rPr>
              <w:t>学生</w:t>
            </w:r>
            <w:r>
              <w:rPr>
                <w:rFonts w:ascii="宋体" w:hAnsi="宋体"/>
                <w:kern w:val="0"/>
                <w:sz w:val="21"/>
                <w:szCs w:val="21"/>
              </w:rPr>
              <w:t>熟悉消防安全的有关法律、法规、规章，知晓消防工作组织领导、安全监管、消防设施建设、社会消防力量建设、消防经费保障、检查考评等责任，掌握消防安全基础知识、社会消防安全管理要求，提高消防工作管理能力。</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消防</w:t>
            </w:r>
            <w:r>
              <w:rPr>
                <w:rFonts w:ascii="宋体" w:hAnsi="宋体" w:cs="宋体"/>
                <w:kern w:val="1"/>
                <w:sz w:val="21"/>
                <w:szCs w:val="21"/>
              </w:rPr>
              <w:t>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8"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12" w:space="0"/>
            </w:tcBorders>
            <w:vAlign w:val="center"/>
          </w:tcPr>
          <w:p>
            <w:pPr>
              <w:ind w:firstLine="0" w:firstLineChars="0"/>
            </w:pPr>
          </w:p>
        </w:tc>
        <w:tc>
          <w:tcPr>
            <w:tcW w:w="1025" w:type="dxa"/>
            <w:vMerge w:val="continue"/>
            <w:tcBorders>
              <w:top w:val="single" w:color="auto" w:sz="12" w:space="0"/>
              <w:bottom w:val="single" w:color="auto" w:sz="12" w:space="0"/>
            </w:tcBorders>
            <w:vAlign w:val="center"/>
          </w:tcPr>
          <w:p>
            <w:pPr>
              <w:numPr>
                <w:ilvl w:val="0"/>
                <w:numId w:val="4"/>
              </w:numPr>
              <w:spacing w:line="240" w:lineRule="auto"/>
              <w:ind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2. </w:t>
            </w:r>
            <w:r>
              <w:rPr>
                <w:rFonts w:hint="eastAsia" w:ascii="宋体" w:hAnsi="宋体"/>
                <w:kern w:val="0"/>
                <w:sz w:val="21"/>
                <w:szCs w:val="21"/>
              </w:rPr>
              <w:t>通过本课程</w:t>
            </w:r>
            <w:r>
              <w:rPr>
                <w:rFonts w:ascii="宋体" w:hAnsi="宋体"/>
                <w:kern w:val="0"/>
                <w:sz w:val="21"/>
                <w:szCs w:val="21"/>
              </w:rPr>
              <w:t>的学习，使学生在掌握</w:t>
            </w:r>
            <w:r>
              <w:rPr>
                <w:rFonts w:hint="eastAsia" w:ascii="宋体" w:hAnsi="宋体"/>
                <w:kern w:val="0"/>
                <w:sz w:val="21"/>
                <w:szCs w:val="21"/>
              </w:rPr>
              <w:t>了</w:t>
            </w:r>
            <w:r>
              <w:rPr>
                <w:rFonts w:ascii="宋体" w:hAnsi="宋体"/>
                <w:kern w:val="0"/>
                <w:sz w:val="21"/>
                <w:szCs w:val="21"/>
              </w:rPr>
              <w:t>安全学原理及了解建筑施工各分部分项工程的基础上，能较好</w:t>
            </w:r>
            <w:r>
              <w:rPr>
                <w:rFonts w:hint="eastAsia" w:ascii="宋体" w:hAnsi="宋体"/>
                <w:kern w:val="0"/>
                <w:sz w:val="21"/>
                <w:szCs w:val="21"/>
              </w:rPr>
              <w:t>地</w:t>
            </w:r>
            <w:r>
              <w:rPr>
                <w:rFonts w:ascii="宋体" w:hAnsi="宋体"/>
                <w:kern w:val="0"/>
                <w:sz w:val="21"/>
                <w:szCs w:val="21"/>
              </w:rPr>
              <w:t>掌握或懂得施工过程中的安全技术和安全管理方法。</w:t>
            </w:r>
          </w:p>
        </w:tc>
        <w:tc>
          <w:tcPr>
            <w:tcW w:w="851" w:type="dxa"/>
            <w:vAlign w:val="center"/>
          </w:tcPr>
          <w:p>
            <w:pPr>
              <w:spacing w:line="240" w:lineRule="auto"/>
              <w:ind w:firstLine="0" w:firstLineChars="0"/>
              <w:rPr>
                <w:rFonts w:ascii="宋体" w:hAnsi="宋体" w:cs="宋体"/>
                <w:kern w:val="1"/>
                <w:sz w:val="21"/>
                <w:szCs w:val="21"/>
              </w:rPr>
            </w:pPr>
            <w:r>
              <w:rPr>
                <w:rFonts w:ascii="宋体" w:hAnsi="宋体" w:cs="宋体"/>
                <w:kern w:val="1"/>
                <w:sz w:val="21"/>
                <w:szCs w:val="21"/>
              </w:rPr>
              <w:t>建筑施工安全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0" w:hRule="atLeast"/>
        </w:trPr>
        <w:tc>
          <w:tcPr>
            <w:tcW w:w="993" w:type="dxa"/>
            <w:vMerge w:val="continue"/>
            <w:vAlign w:val="center"/>
          </w:tcPr>
          <w:p>
            <w:pPr>
              <w:ind w:firstLine="0" w:firstLineChars="0"/>
            </w:pPr>
          </w:p>
        </w:tc>
        <w:tc>
          <w:tcPr>
            <w:tcW w:w="708" w:type="dxa"/>
            <w:vMerge w:val="continue"/>
            <w:tcBorders>
              <w:top w:val="single" w:color="auto" w:sz="12" w:space="0"/>
              <w:bottom w:val="single" w:color="auto" w:sz="6" w:space="0"/>
            </w:tcBorders>
            <w:vAlign w:val="center"/>
          </w:tcPr>
          <w:p>
            <w:pPr>
              <w:ind w:firstLine="0" w:firstLineChars="0"/>
            </w:pPr>
          </w:p>
        </w:tc>
        <w:tc>
          <w:tcPr>
            <w:tcW w:w="1025" w:type="dxa"/>
            <w:vMerge w:val="continue"/>
            <w:tcBorders>
              <w:top w:val="single" w:color="auto" w:sz="12" w:space="0"/>
              <w:bottom w:val="single" w:color="auto" w:sz="6" w:space="0"/>
            </w:tcBorders>
            <w:vAlign w:val="center"/>
          </w:tcPr>
          <w:p>
            <w:pPr>
              <w:ind w:firstLine="0" w:firstLineChars="0"/>
            </w:pPr>
          </w:p>
        </w:tc>
        <w:tc>
          <w:tcPr>
            <w:tcW w:w="5794" w:type="dxa"/>
            <w:vAlign w:val="center"/>
          </w:tcPr>
          <w:p>
            <w:pPr>
              <w:ind w:firstLine="420"/>
              <w:rPr>
                <w:rFonts w:ascii="宋体" w:hAnsi="宋体"/>
                <w:kern w:val="0"/>
                <w:sz w:val="21"/>
                <w:szCs w:val="21"/>
              </w:rPr>
            </w:pPr>
            <w:r>
              <w:rPr>
                <w:rFonts w:ascii="宋体" w:hAnsi="宋体"/>
                <w:kern w:val="0"/>
                <w:sz w:val="21"/>
                <w:szCs w:val="21"/>
              </w:rPr>
              <w:t xml:space="preserve">3. </w:t>
            </w:r>
            <w:r>
              <w:rPr>
                <w:rFonts w:hint="eastAsia" w:ascii="宋体" w:hAnsi="宋体"/>
                <w:kern w:val="0"/>
                <w:sz w:val="21"/>
                <w:szCs w:val="21"/>
              </w:rPr>
              <w:t>通过</w:t>
            </w:r>
            <w:r>
              <w:rPr>
                <w:rFonts w:ascii="宋体" w:hAnsi="宋体"/>
                <w:kern w:val="0"/>
                <w:sz w:val="21"/>
                <w:szCs w:val="21"/>
              </w:rPr>
              <w:t>本课程的学习</w:t>
            </w:r>
            <w:r>
              <w:rPr>
                <w:rFonts w:hint="eastAsia" w:ascii="宋体" w:hAnsi="宋体"/>
                <w:kern w:val="0"/>
                <w:sz w:val="21"/>
                <w:szCs w:val="21"/>
              </w:rPr>
              <w:t>，</w:t>
            </w:r>
            <w:r>
              <w:rPr>
                <w:rFonts w:ascii="宋体" w:hAnsi="宋体"/>
                <w:kern w:val="0"/>
                <w:sz w:val="21"/>
                <w:szCs w:val="21"/>
              </w:rPr>
              <w:t>提高安全从业人员的业务与技术能力以及职业素养，具备安全战略设计的能力</w:t>
            </w:r>
            <w:r>
              <w:rPr>
                <w:rFonts w:hint="eastAsia" w:ascii="宋体" w:hAnsi="宋体"/>
                <w:kern w:val="0"/>
                <w:sz w:val="21"/>
                <w:szCs w:val="21"/>
              </w:rPr>
              <w:t>，</w:t>
            </w:r>
            <w:r>
              <w:rPr>
                <w:rFonts w:ascii="宋体" w:hAnsi="宋体"/>
                <w:kern w:val="0"/>
                <w:sz w:val="21"/>
                <w:szCs w:val="21"/>
              </w:rPr>
              <w:t>提高</w:t>
            </w:r>
            <w:r>
              <w:rPr>
                <w:rFonts w:hint="eastAsia" w:ascii="宋体" w:hAnsi="宋体"/>
                <w:kern w:val="0"/>
                <w:sz w:val="21"/>
                <w:szCs w:val="21"/>
              </w:rPr>
              <w:t>学生</w:t>
            </w:r>
            <w:r>
              <w:rPr>
                <w:rFonts w:ascii="宋体" w:hAnsi="宋体"/>
                <w:kern w:val="0"/>
                <w:sz w:val="21"/>
                <w:szCs w:val="21"/>
              </w:rPr>
              <w:t>对安全生产重要性的认识</w:t>
            </w:r>
            <w:r>
              <w:rPr>
                <w:rFonts w:hint="eastAsia" w:ascii="宋体" w:hAnsi="宋体"/>
                <w:kern w:val="0"/>
                <w:sz w:val="21"/>
                <w:szCs w:val="21"/>
              </w:rPr>
              <w:t>，</w:t>
            </w:r>
            <w:r>
              <w:rPr>
                <w:rFonts w:ascii="宋体" w:hAnsi="宋体"/>
                <w:kern w:val="0"/>
                <w:sz w:val="21"/>
                <w:szCs w:val="21"/>
              </w:rPr>
              <w:t>增强安全生产的责任感。</w:t>
            </w:r>
          </w:p>
        </w:tc>
        <w:tc>
          <w:tcPr>
            <w:tcW w:w="851" w:type="dxa"/>
            <w:vAlign w:val="center"/>
          </w:tcPr>
          <w:p>
            <w:pPr>
              <w:spacing w:line="240" w:lineRule="auto"/>
              <w:ind w:firstLine="0" w:firstLineChars="0"/>
              <w:rPr>
                <w:rFonts w:ascii="宋体" w:hAnsi="宋体" w:cs="宋体"/>
                <w:kern w:val="1"/>
                <w:sz w:val="21"/>
                <w:szCs w:val="21"/>
              </w:rPr>
            </w:pPr>
            <w:r>
              <w:rPr>
                <w:rFonts w:hint="eastAsia" w:ascii="宋体" w:hAnsi="宋体" w:cs="宋体"/>
                <w:kern w:val="1"/>
                <w:sz w:val="21"/>
                <w:szCs w:val="21"/>
              </w:rPr>
              <w:t>安全工程师培训</w:t>
            </w:r>
            <w:r>
              <w:rPr>
                <w:rFonts w:ascii="宋体" w:hAnsi="宋体" w:cs="宋体"/>
                <w:kern w:val="1"/>
                <w:sz w:val="21"/>
                <w:szCs w:val="21"/>
              </w:rPr>
              <w:t>课程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42" w:hRule="atLeast"/>
        </w:trPr>
        <w:tc>
          <w:tcPr>
            <w:tcW w:w="993" w:type="dxa"/>
            <w:vMerge w:val="restart"/>
            <w:vAlign w:val="center"/>
          </w:tcPr>
          <w:p>
            <w:pPr>
              <w:ind w:firstLine="0" w:firstLineChars="0"/>
              <w:rPr>
                <w:b/>
              </w:rPr>
            </w:pPr>
            <w:r>
              <w:rPr>
                <w:rFonts w:hint="eastAsia"/>
                <w:b/>
              </w:rPr>
              <w:t>七</w:t>
            </w:r>
            <w:r>
              <w:rPr>
                <w:b/>
              </w:rPr>
              <w:t>、专业培养模式与教学方式</w:t>
            </w:r>
          </w:p>
        </w:tc>
        <w:tc>
          <w:tcPr>
            <w:tcW w:w="1733" w:type="dxa"/>
            <w:gridSpan w:val="2"/>
            <w:tcBorders>
              <w:top w:val="single" w:color="auto" w:sz="6" w:space="0"/>
              <w:bottom w:val="single" w:color="auto" w:sz="8" w:space="0"/>
            </w:tcBorders>
            <w:vAlign w:val="center"/>
          </w:tcPr>
          <w:p>
            <w:pPr>
              <w:ind w:firstLine="0" w:firstLineChars="0"/>
              <w:rPr>
                <w:iCs/>
              </w:rPr>
            </w:pPr>
            <w:r>
              <w:rPr>
                <w:iCs/>
              </w:rPr>
              <w:t>7.1培养模式</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采用开放教育的培养模式，引</w:t>
            </w:r>
            <w:r>
              <w:rPr>
                <w:rFonts w:hint="eastAsia" w:ascii="宋体" w:hAnsi="宋体"/>
                <w:kern w:val="0"/>
                <w:sz w:val="21"/>
                <w:szCs w:val="21"/>
              </w:rPr>
              <w:t>导</w:t>
            </w:r>
            <w:r>
              <w:rPr>
                <w:rFonts w:ascii="宋体" w:hAnsi="宋体"/>
                <w:kern w:val="0"/>
                <w:sz w:val="21"/>
                <w:szCs w:val="21"/>
              </w:rPr>
              <w:t>学生</w:t>
            </w:r>
            <w:r>
              <w:rPr>
                <w:rFonts w:hint="eastAsia" w:ascii="宋体" w:hAnsi="宋体"/>
                <w:kern w:val="0"/>
                <w:sz w:val="21"/>
                <w:szCs w:val="21"/>
              </w:rPr>
              <w:t>参加</w:t>
            </w:r>
            <w:r>
              <w:rPr>
                <w:rFonts w:ascii="宋体" w:hAnsi="宋体"/>
                <w:kern w:val="0"/>
                <w:sz w:val="21"/>
                <w:szCs w:val="21"/>
              </w:rPr>
              <w:t>资格</w:t>
            </w:r>
            <w:r>
              <w:rPr>
                <w:rFonts w:hint="eastAsia" w:ascii="宋体" w:hAnsi="宋体"/>
                <w:kern w:val="0"/>
                <w:sz w:val="21"/>
                <w:szCs w:val="21"/>
              </w:rPr>
              <w:t>考试</w:t>
            </w:r>
            <w:r>
              <w:rPr>
                <w:rFonts w:ascii="宋体" w:hAnsi="宋体"/>
                <w:kern w:val="0"/>
                <w:sz w:val="21"/>
                <w:szCs w:val="21"/>
              </w:rPr>
              <w:t>。</w:t>
            </w:r>
          </w:p>
          <w:p>
            <w:pPr>
              <w:ind w:firstLine="420"/>
              <w:rPr>
                <w:rFonts w:ascii="宋体" w:hAnsi="宋体"/>
                <w:kern w:val="0"/>
                <w:sz w:val="21"/>
                <w:szCs w:val="21"/>
              </w:rPr>
            </w:pPr>
            <w:r>
              <w:rPr>
                <w:rFonts w:ascii="宋体" w:hAnsi="宋体"/>
                <w:kern w:val="0"/>
                <w:sz w:val="21"/>
                <w:szCs w:val="21"/>
              </w:rPr>
              <w:t>1. 结合</w:t>
            </w:r>
            <w:r>
              <w:rPr>
                <w:rFonts w:hint="eastAsia" w:ascii="宋体" w:hAnsi="宋体"/>
                <w:kern w:val="0"/>
                <w:sz w:val="21"/>
                <w:szCs w:val="21"/>
              </w:rPr>
              <w:t>国家开放</w:t>
            </w:r>
            <w:r>
              <w:rPr>
                <w:rFonts w:ascii="宋体" w:hAnsi="宋体"/>
                <w:kern w:val="0"/>
                <w:sz w:val="21"/>
                <w:szCs w:val="21"/>
              </w:rPr>
              <w:t>大学</w:t>
            </w:r>
            <w:r>
              <w:rPr>
                <w:rFonts w:hint="eastAsia" w:ascii="宋体" w:hAnsi="宋体"/>
                <w:kern w:val="0"/>
                <w:sz w:val="21"/>
                <w:szCs w:val="21"/>
              </w:rPr>
              <w:t>的</w:t>
            </w:r>
            <w:r>
              <w:rPr>
                <w:rFonts w:ascii="宋体" w:hAnsi="宋体"/>
                <w:kern w:val="0"/>
                <w:sz w:val="21"/>
                <w:szCs w:val="21"/>
              </w:rPr>
              <w:t>人才培养模式</w:t>
            </w:r>
            <w:r>
              <w:rPr>
                <w:rFonts w:hint="eastAsia" w:ascii="宋体" w:hAnsi="宋体"/>
                <w:kern w:val="0"/>
                <w:sz w:val="21"/>
                <w:szCs w:val="21"/>
              </w:rPr>
              <w:t>，</w:t>
            </w:r>
            <w:r>
              <w:rPr>
                <w:rFonts w:ascii="宋体" w:hAnsi="宋体"/>
                <w:kern w:val="0"/>
                <w:sz w:val="21"/>
                <w:szCs w:val="21"/>
              </w:rPr>
              <w:t>以适应经济社会发展现实需要为目标，以适应从业人员学习需求的专业和课程为内容，以整合优化的学习资源为基础，以天网、地网、人网合一的学习环境为支撑，以学习者自主学习为主要方式，以严格而有弹性的过程管理为保障，培养留得住、用得上的应用型高级专门人才。</w:t>
            </w:r>
          </w:p>
          <w:p>
            <w:pPr>
              <w:ind w:firstLine="420"/>
              <w:rPr>
                <w:rFonts w:ascii="宋体" w:hAnsi="宋体"/>
                <w:kern w:val="0"/>
                <w:sz w:val="21"/>
                <w:szCs w:val="21"/>
              </w:rPr>
            </w:pPr>
            <w:r>
              <w:rPr>
                <w:rFonts w:ascii="宋体" w:hAnsi="宋体"/>
                <w:kern w:val="0"/>
                <w:sz w:val="21"/>
                <w:szCs w:val="21"/>
              </w:rPr>
              <w:t>2. 根据职业教育的现状和特点</w:t>
            </w:r>
            <w:r>
              <w:rPr>
                <w:rFonts w:hint="eastAsia" w:ascii="宋体" w:hAnsi="宋体"/>
                <w:kern w:val="0"/>
                <w:sz w:val="21"/>
                <w:szCs w:val="21"/>
              </w:rPr>
              <w:t>，</w:t>
            </w:r>
            <w:r>
              <w:rPr>
                <w:rFonts w:ascii="宋体" w:hAnsi="宋体"/>
                <w:kern w:val="0"/>
                <w:sz w:val="21"/>
                <w:szCs w:val="21"/>
              </w:rPr>
              <w:t>注重职业教育与文秘行业最新发展的同步性，强调专业针对性、实用性与前瞻性的结合。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993" w:type="dxa"/>
            <w:vMerge w:val="continue"/>
            <w:vAlign w:val="center"/>
          </w:tcPr>
          <w:p>
            <w:pPr>
              <w:ind w:firstLine="0" w:firstLineChars="0"/>
            </w:pPr>
          </w:p>
        </w:tc>
        <w:tc>
          <w:tcPr>
            <w:tcW w:w="1733" w:type="dxa"/>
            <w:gridSpan w:val="2"/>
            <w:tcBorders>
              <w:top w:val="single" w:color="auto" w:sz="8" w:space="0"/>
            </w:tcBorders>
            <w:vAlign w:val="center"/>
          </w:tcPr>
          <w:p>
            <w:pPr>
              <w:ind w:firstLine="0" w:firstLineChars="0"/>
              <w:rPr>
                <w:iCs/>
              </w:rPr>
            </w:pPr>
            <w:r>
              <w:rPr>
                <w:iCs/>
              </w:rPr>
              <w:t>7.2 教学方式</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采用</w:t>
            </w:r>
            <w:r>
              <w:rPr>
                <w:rFonts w:hint="eastAsia" w:ascii="宋体" w:hAnsi="宋体"/>
                <w:kern w:val="0"/>
                <w:sz w:val="21"/>
                <w:szCs w:val="21"/>
              </w:rPr>
              <w:t>“</w:t>
            </w:r>
            <w:r>
              <w:rPr>
                <w:rFonts w:ascii="宋体" w:hAnsi="宋体"/>
                <w:kern w:val="0"/>
                <w:sz w:val="21"/>
                <w:szCs w:val="21"/>
              </w:rPr>
              <w:t>现代远程教育</w:t>
            </w:r>
            <w:r>
              <w:rPr>
                <w:rFonts w:hint="eastAsia" w:ascii="宋体" w:hAnsi="宋体"/>
                <w:kern w:val="0"/>
                <w:sz w:val="21"/>
                <w:szCs w:val="21"/>
              </w:rPr>
              <w:t>”</w:t>
            </w:r>
            <w:r>
              <w:rPr>
                <w:rFonts w:ascii="宋体" w:hAnsi="宋体"/>
                <w:kern w:val="0"/>
                <w:sz w:val="21"/>
                <w:szCs w:val="21"/>
              </w:rPr>
              <w:t>的教学方式，为学习者自主学习提供适用的多种媒体教学资源，重点开展网上教学活动。推进随时入学及选课，随时注册；以专业和岗位需求为根据，以强调实际动手能力为导向，以满足岗位技能的要求为目标，结合学校自身和电大系统的优势，使理论教学与分组教学、项目驱动教学、多媒体课件、幻灯演示、音像制品的播放等多种教学方法与实践相结合，增强学生主动学习、小组协作能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993" w:type="dxa"/>
            <w:vMerge w:val="restart"/>
            <w:vAlign w:val="center"/>
          </w:tcPr>
          <w:p>
            <w:pPr>
              <w:ind w:firstLine="0" w:firstLineChars="0"/>
            </w:pPr>
            <w:r>
              <w:rPr>
                <w:b/>
              </w:rPr>
              <w:t>八、</w:t>
            </w:r>
            <w:r>
              <w:rPr>
                <w:rFonts w:hint="eastAsia"/>
                <w:b/>
              </w:rPr>
              <w:t>教</w:t>
            </w:r>
            <w:r>
              <w:rPr>
                <w:b/>
              </w:rPr>
              <w:t>学管理</w:t>
            </w:r>
          </w:p>
        </w:tc>
        <w:tc>
          <w:tcPr>
            <w:tcW w:w="1733" w:type="dxa"/>
            <w:gridSpan w:val="2"/>
            <w:vAlign w:val="center"/>
          </w:tcPr>
          <w:p>
            <w:pPr>
              <w:ind w:firstLine="0" w:firstLineChars="0"/>
              <w:rPr>
                <w:iCs/>
              </w:rPr>
            </w:pPr>
            <w:r>
              <w:rPr>
                <w:iCs/>
              </w:rPr>
              <w:t>8.1</w:t>
            </w:r>
            <w:r>
              <w:rPr>
                <w:rFonts w:hint="eastAsia"/>
                <w:iCs/>
              </w:rPr>
              <w:t>课</w:t>
            </w:r>
            <w:r>
              <w:rPr>
                <w:iCs/>
              </w:rPr>
              <w:t>程管理</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统设必修课严格执行统一课程名称、统一课程学分标准、统一教学大纲、统一教材、统一考试。</w:t>
            </w:r>
          </w:p>
          <w:p>
            <w:pPr>
              <w:ind w:firstLine="420"/>
              <w:rPr>
                <w:rFonts w:ascii="宋体" w:hAnsi="宋体"/>
                <w:kern w:val="0"/>
                <w:sz w:val="21"/>
                <w:szCs w:val="21"/>
              </w:rPr>
            </w:pPr>
            <w:r>
              <w:rPr>
                <w:rFonts w:hint="eastAsia" w:ascii="宋体" w:hAnsi="宋体"/>
                <w:kern w:val="0"/>
                <w:sz w:val="21"/>
                <w:szCs w:val="21"/>
              </w:rPr>
              <w:t>1.</w:t>
            </w:r>
            <w:r>
              <w:rPr>
                <w:rFonts w:ascii="宋体" w:hAnsi="宋体"/>
                <w:kern w:val="0"/>
                <w:sz w:val="21"/>
                <w:szCs w:val="21"/>
              </w:rPr>
              <w:t>课程实践环节成绩计入课程学习成绩，没有完成课程实践环节的不能取得课程学分。</w:t>
            </w:r>
          </w:p>
          <w:p>
            <w:pPr>
              <w:ind w:firstLine="420"/>
              <w:rPr>
                <w:rFonts w:ascii="宋体" w:hAnsi="宋体"/>
                <w:kern w:val="0"/>
                <w:sz w:val="21"/>
                <w:szCs w:val="21"/>
              </w:rPr>
            </w:pPr>
            <w:r>
              <w:rPr>
                <w:rFonts w:hint="eastAsia" w:ascii="宋体" w:hAnsi="宋体"/>
                <w:kern w:val="0"/>
                <w:sz w:val="21"/>
                <w:szCs w:val="21"/>
              </w:rPr>
              <w:t>2.</w:t>
            </w:r>
            <w:r>
              <w:rPr>
                <w:rFonts w:ascii="宋体" w:hAnsi="宋体"/>
                <w:kern w:val="0"/>
                <w:sz w:val="21"/>
                <w:szCs w:val="21"/>
              </w:rPr>
              <w:t>相似课程不宜兼修，如果兼修，只计其中一门课程的学分。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993" w:type="dxa"/>
            <w:vMerge w:val="continue"/>
            <w:vAlign w:val="center"/>
          </w:tcPr>
          <w:p>
            <w:pPr>
              <w:ind w:firstLine="0" w:firstLineChars="0"/>
            </w:pPr>
          </w:p>
        </w:tc>
        <w:tc>
          <w:tcPr>
            <w:tcW w:w="1733" w:type="dxa"/>
            <w:gridSpan w:val="2"/>
            <w:vAlign w:val="center"/>
          </w:tcPr>
          <w:p>
            <w:pPr>
              <w:ind w:firstLine="0" w:firstLineChars="0"/>
              <w:rPr>
                <w:iCs/>
              </w:rPr>
            </w:pPr>
            <w:r>
              <w:rPr>
                <w:iCs/>
              </w:rPr>
              <w:t>8.2 开课学期</w:t>
            </w:r>
          </w:p>
        </w:tc>
        <w:tc>
          <w:tcPr>
            <w:tcW w:w="6645" w:type="dxa"/>
            <w:gridSpan w:val="2"/>
            <w:vAlign w:val="center"/>
          </w:tcPr>
          <w:p>
            <w:pPr>
              <w:ind w:firstLine="420"/>
              <w:rPr>
                <w:rFonts w:ascii="宋体" w:hAnsi="宋体"/>
                <w:kern w:val="0"/>
                <w:sz w:val="21"/>
                <w:szCs w:val="21"/>
              </w:rPr>
            </w:pPr>
            <w:r>
              <w:rPr>
                <w:rFonts w:ascii="宋体" w:hAnsi="宋体"/>
                <w:kern w:val="0"/>
                <w:sz w:val="21"/>
                <w:szCs w:val="21"/>
              </w:rPr>
              <w:t>专业规则表中各课程建议开设学期是根据专业知识结构提供的课程先修、后续关系确定的，供学生选课时参考。开放教育各专业所有统设必修课程首轮开设时必须按照建议开设学期开课，之后实行全年滚动开设。</w:t>
            </w:r>
          </w:p>
        </w:tc>
      </w:tr>
    </w:tbl>
    <w:p>
      <w:pPr>
        <w:spacing w:line="240" w:lineRule="auto"/>
        <w:ind w:firstLine="0" w:firstLineChars="0"/>
        <w:rPr>
          <w:rFonts w:ascii="Calibri" w:hAnsi="Calibri"/>
          <w:sz w:val="21"/>
          <w:szCs w:val="22"/>
        </w:rPr>
      </w:pPr>
    </w:p>
    <w:p>
      <w:pPr>
        <w:spacing w:line="240" w:lineRule="auto"/>
        <w:ind w:firstLine="0" w:firstLineChars="0"/>
        <w:rPr>
          <w:rFonts w:ascii="Calibri" w:hAnsi="Calibri"/>
          <w:sz w:val="21"/>
          <w:szCs w:val="22"/>
        </w:rPr>
      </w:pPr>
    </w:p>
    <w:p>
      <w:pPr>
        <w:spacing w:line="240" w:lineRule="auto"/>
        <w:ind w:firstLine="0" w:firstLineChars="0"/>
        <w:rPr>
          <w:rFonts w:ascii="Calibri" w:hAnsi="Calibri"/>
          <w:sz w:val="21"/>
          <w:szCs w:val="22"/>
        </w:rPr>
      </w:pPr>
      <w:r>
        <w:rPr>
          <w:kern w:val="0"/>
        </w:rPr>
        <w:drawing>
          <wp:anchor distT="0" distB="0" distL="114300" distR="114300" simplePos="0" relativeHeight="251673600" behindDoc="0" locked="0" layoutInCell="1" allowOverlap="1">
            <wp:simplePos x="0" y="0"/>
            <wp:positionH relativeFrom="margin">
              <wp:align>right</wp:align>
            </wp:positionH>
            <wp:positionV relativeFrom="paragraph">
              <wp:posOffset>-3351530</wp:posOffset>
            </wp:positionV>
            <wp:extent cx="266700" cy="142875"/>
            <wp:effectExtent l="0" t="0" r="0" b="9525"/>
            <wp:wrapNone/>
            <wp:docPr id="1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6700" cy="142875"/>
                    </a:xfrm>
                    <a:prstGeom prst="rect">
                      <a:avLst/>
                    </a:prstGeom>
                  </pic:spPr>
                </pic:pic>
              </a:graphicData>
            </a:graphic>
          </wp:anchor>
        </w:drawing>
      </w:r>
    </w:p>
    <w:p>
      <w:pPr>
        <w:ind w:firstLine="0" w:firstLineChars="0"/>
      </w:pPr>
    </w:p>
    <w:p>
      <w:pPr>
        <w:ind w:firstLine="0" w:firstLineChars="0"/>
      </w:pPr>
    </w:p>
    <w:p>
      <w:pPr>
        <w:ind w:firstLine="0" w:firstLineChars="0"/>
      </w:pPr>
    </w:p>
    <w:p>
      <w:pPr>
        <w:ind w:left="480" w:leftChars="200" w:firstLine="0" w:firstLineChars="0"/>
        <w:jc w:val="center"/>
        <w:rPr>
          <w:rFonts w:ascii="宋体" w:hAnsi="宋体"/>
          <w:b/>
          <w:color w:val="000000"/>
          <w:sz w:val="32"/>
          <w:szCs w:val="30"/>
        </w:rPr>
      </w:pPr>
      <w:r>
        <w:rPr>
          <w:rFonts w:hint="eastAsia" w:ascii="宋体" w:hAnsi="宋体"/>
          <w:b/>
          <w:color w:val="000000"/>
          <w:sz w:val="32"/>
          <w:szCs w:val="30"/>
        </w:rPr>
        <w:t>资源</w:t>
      </w:r>
      <w:r>
        <w:rPr>
          <w:rFonts w:ascii="宋体" w:hAnsi="宋体"/>
          <w:b/>
          <w:color w:val="000000"/>
          <w:sz w:val="32"/>
          <w:szCs w:val="30"/>
        </w:rPr>
        <w:t>环境与安全</w:t>
      </w:r>
      <w:r>
        <w:rPr>
          <w:rFonts w:hint="eastAsia" w:ascii="宋体" w:hAnsi="宋体"/>
          <w:b/>
          <w:color w:val="000000"/>
          <w:sz w:val="32"/>
          <w:szCs w:val="30"/>
        </w:rPr>
        <w:t>大类安全类</w:t>
      </w:r>
    </w:p>
    <w:p>
      <w:pPr>
        <w:spacing w:afterLines="50"/>
        <w:ind w:left="480" w:leftChars="200" w:firstLine="0" w:firstLineChars="0"/>
        <w:jc w:val="center"/>
        <w:rPr>
          <w:rFonts w:ascii="宋体" w:hAnsi="宋体"/>
          <w:b/>
          <w:color w:val="000000"/>
          <w:sz w:val="32"/>
          <w:szCs w:val="30"/>
        </w:rPr>
      </w:pPr>
      <w:r>
        <w:rPr>
          <w:rFonts w:hint="eastAsia" w:ascii="宋体" w:hAnsi="宋体"/>
          <w:b/>
          <w:color w:val="000000"/>
          <w:sz w:val="32"/>
          <w:szCs w:val="30"/>
        </w:rPr>
        <w:t>安全</w:t>
      </w:r>
      <w:r>
        <w:rPr>
          <w:rFonts w:ascii="宋体" w:hAnsi="宋体"/>
          <w:b/>
          <w:color w:val="000000"/>
          <w:sz w:val="32"/>
          <w:szCs w:val="30"/>
        </w:rPr>
        <w:t>技术与管理</w:t>
      </w:r>
      <w:r>
        <w:rPr>
          <w:rFonts w:hint="eastAsia" w:ascii="宋体" w:hAnsi="宋体"/>
          <w:b/>
          <w:color w:val="000000"/>
          <w:sz w:val="32"/>
          <w:szCs w:val="30"/>
        </w:rPr>
        <w:t>（专科）专业课程说明</w:t>
      </w:r>
    </w:p>
    <w:tbl>
      <w:tblPr>
        <w:tblStyle w:val="16"/>
        <w:tblW w:w="9782" w:type="dxa"/>
        <w:tblInd w:w="-28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50"/>
        <w:gridCol w:w="7058"/>
        <w:gridCol w:w="457"/>
        <w:gridCol w:w="70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Align w:val="center"/>
          </w:tcPr>
          <w:p>
            <w:pPr>
              <w:spacing w:line="280" w:lineRule="exact"/>
              <w:ind w:firstLine="0" w:firstLineChars="0"/>
              <w:jc w:val="left"/>
              <w:rPr>
                <w:rFonts w:ascii="宋体" w:hAnsi="宋体"/>
                <w:b/>
                <w:color w:val="000000"/>
              </w:rPr>
            </w:pPr>
            <w:r>
              <w:rPr>
                <w:rFonts w:hint="eastAsia" w:ascii="宋体" w:hAnsi="宋体"/>
                <w:b/>
                <w:color w:val="000000"/>
              </w:rPr>
              <w:t>课程</w:t>
            </w:r>
          </w:p>
          <w:p>
            <w:pPr>
              <w:spacing w:line="280" w:lineRule="exact"/>
              <w:ind w:firstLine="0" w:firstLineChars="0"/>
              <w:jc w:val="left"/>
              <w:rPr>
                <w:rFonts w:ascii="宋体" w:hAnsi="宋体"/>
                <w:b/>
                <w:color w:val="000000"/>
              </w:rPr>
            </w:pPr>
            <w:r>
              <w:rPr>
                <w:rFonts w:hint="eastAsia" w:ascii="宋体" w:hAnsi="宋体"/>
                <w:b/>
                <w:color w:val="000000"/>
              </w:rPr>
              <w:t>性质</w:t>
            </w:r>
          </w:p>
        </w:tc>
        <w:tc>
          <w:tcPr>
            <w:tcW w:w="850" w:type="dxa"/>
            <w:vAlign w:val="center"/>
          </w:tcPr>
          <w:p>
            <w:pPr>
              <w:spacing w:line="280" w:lineRule="exact"/>
              <w:ind w:firstLine="0" w:firstLineChars="0"/>
              <w:jc w:val="center"/>
              <w:rPr>
                <w:rFonts w:ascii="宋体" w:hAnsi="宋体"/>
                <w:b/>
                <w:color w:val="000000"/>
              </w:rPr>
            </w:pPr>
            <w:r>
              <w:rPr>
                <w:rFonts w:hint="eastAsia" w:ascii="宋体" w:hAnsi="宋体"/>
                <w:b/>
                <w:color w:val="000000"/>
              </w:rPr>
              <w:t>课程</w:t>
            </w:r>
          </w:p>
          <w:p>
            <w:pPr>
              <w:spacing w:line="280" w:lineRule="exact"/>
              <w:ind w:firstLine="0" w:firstLineChars="0"/>
              <w:jc w:val="center"/>
              <w:rPr>
                <w:rFonts w:ascii="宋体" w:hAnsi="宋体"/>
                <w:b/>
                <w:color w:val="000000"/>
              </w:rPr>
            </w:pPr>
            <w:r>
              <w:rPr>
                <w:rFonts w:hint="eastAsia" w:ascii="宋体" w:hAnsi="宋体"/>
                <w:b/>
                <w:color w:val="000000"/>
              </w:rPr>
              <w:t>名称</w:t>
            </w:r>
          </w:p>
        </w:tc>
        <w:tc>
          <w:tcPr>
            <w:tcW w:w="7058" w:type="dxa"/>
            <w:vAlign w:val="center"/>
          </w:tcPr>
          <w:p>
            <w:pPr>
              <w:spacing w:line="280" w:lineRule="exact"/>
              <w:ind w:firstLine="0" w:firstLineChars="0"/>
              <w:jc w:val="center"/>
              <w:rPr>
                <w:rFonts w:ascii="宋体" w:hAnsi="宋体"/>
                <w:b/>
                <w:color w:val="000000"/>
              </w:rPr>
            </w:pPr>
            <w:r>
              <w:rPr>
                <w:rFonts w:hint="eastAsia" w:ascii="宋体" w:hAnsi="宋体"/>
                <w:b/>
                <w:color w:val="000000"/>
              </w:rPr>
              <w:t>内容介绍</w:t>
            </w:r>
          </w:p>
        </w:tc>
        <w:tc>
          <w:tcPr>
            <w:tcW w:w="457" w:type="dxa"/>
            <w:vAlign w:val="center"/>
          </w:tcPr>
          <w:p>
            <w:pPr>
              <w:spacing w:line="280" w:lineRule="exact"/>
              <w:ind w:firstLine="0" w:firstLineChars="0"/>
              <w:jc w:val="center"/>
              <w:rPr>
                <w:rFonts w:ascii="宋体" w:hAnsi="宋体"/>
                <w:b/>
                <w:color w:val="000000"/>
              </w:rPr>
            </w:pPr>
            <w:r>
              <w:rPr>
                <w:rFonts w:hint="eastAsia" w:ascii="宋体" w:hAnsi="宋体"/>
                <w:b/>
                <w:color w:val="000000"/>
              </w:rPr>
              <w:t>学分</w:t>
            </w:r>
          </w:p>
        </w:tc>
        <w:tc>
          <w:tcPr>
            <w:tcW w:w="708" w:type="dxa"/>
            <w:vAlign w:val="center"/>
          </w:tcPr>
          <w:p>
            <w:pPr>
              <w:spacing w:line="280" w:lineRule="exact"/>
              <w:ind w:firstLine="0" w:firstLineChars="0"/>
              <w:jc w:val="center"/>
              <w:rPr>
                <w:rFonts w:ascii="宋体" w:hAnsi="宋体"/>
                <w:b/>
                <w:color w:val="000000"/>
              </w:rPr>
            </w:pPr>
            <w:r>
              <w:rPr>
                <w:rFonts w:hint="eastAsia" w:ascii="宋体" w:hAnsi="宋体"/>
                <w:b/>
                <w:color w:val="000000"/>
              </w:rPr>
              <w:t>教学时数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restart"/>
            <w:vAlign w:val="center"/>
          </w:tcPr>
          <w:p>
            <w:pPr>
              <w:ind w:firstLine="0" w:firstLineChars="0"/>
              <w:jc w:val="left"/>
              <w:rPr>
                <w:rFonts w:ascii="宋体" w:hAnsi="宋体"/>
                <w:color w:val="000000"/>
              </w:rPr>
            </w:pPr>
            <w:r>
              <w:rPr>
                <w:rFonts w:hint="eastAsia" w:ascii="宋体" w:hAnsi="宋体"/>
                <w:color w:val="000000"/>
              </w:rPr>
              <w:t>公共</w:t>
            </w:r>
          </w:p>
          <w:p>
            <w:pPr>
              <w:ind w:firstLine="0" w:firstLineChars="0"/>
              <w:jc w:val="left"/>
              <w:rPr>
                <w:rFonts w:ascii="宋体" w:hAnsi="宋体"/>
                <w:color w:val="000000"/>
              </w:rPr>
            </w:pPr>
            <w:r>
              <w:rPr>
                <w:rFonts w:hint="eastAsia" w:ascii="宋体" w:hAnsi="宋体"/>
                <w:color w:val="000000"/>
              </w:rPr>
              <w:t>基础</w:t>
            </w:r>
          </w:p>
          <w:p>
            <w:pPr>
              <w:ind w:firstLine="0" w:firstLineChars="0"/>
              <w:jc w:val="left"/>
              <w:rPr>
                <w:rFonts w:ascii="方正书宋简体" w:hAnsi="Calibri" w:eastAsia="方正书宋简体"/>
                <w:color w:val="000000"/>
              </w:rPr>
            </w:pPr>
            <w:r>
              <w:rPr>
                <w:rFonts w:hint="eastAsia" w:ascii="宋体" w:hAnsi="宋体"/>
                <w:color w:val="000000"/>
              </w:rPr>
              <w:t>课程</w:t>
            </w: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中国特色社会主义理论体系概论</w:t>
            </w:r>
          </w:p>
        </w:tc>
        <w:tc>
          <w:tcPr>
            <w:tcW w:w="7058" w:type="dxa"/>
            <w:vAlign w:val="center"/>
          </w:tcPr>
          <w:p>
            <w:pPr>
              <w:ind w:firstLine="420"/>
              <w:rPr>
                <w:rFonts w:ascii="宋体" w:hAnsi="宋体"/>
                <w:color w:val="000000"/>
                <w:sz w:val="21"/>
                <w:szCs w:val="21"/>
              </w:rPr>
            </w:pPr>
            <w:r>
              <w:rPr>
                <w:rFonts w:ascii="宋体" w:hAnsi="宋体"/>
                <w:color w:val="000000"/>
                <w:sz w:val="21"/>
                <w:szCs w:val="21"/>
              </w:rPr>
              <w:t>本课程是根据我国改革开放以来，中国共产党历次代表大会，特别是十八大报告精神，为培养电大学生掌握中国特色社会主义理论体系的主要内容和精神实质而开设的公共必修思想政治理论课。</w:t>
            </w:r>
          </w:p>
          <w:p>
            <w:pPr>
              <w:ind w:firstLine="420"/>
              <w:rPr>
                <w:rFonts w:ascii="宋体" w:hAnsi="宋体"/>
                <w:color w:val="000000"/>
                <w:sz w:val="21"/>
                <w:szCs w:val="21"/>
              </w:rPr>
            </w:pPr>
            <w:r>
              <w:rPr>
                <w:rFonts w:ascii="宋体" w:hAnsi="宋体"/>
                <w:color w:val="000000"/>
                <w:sz w:val="21"/>
                <w:szCs w:val="21"/>
              </w:rPr>
              <w:t>本课程介绍了中国特色社会主义理论体系的形成发展过程及中国特色社会主义的思想路线、总依据、总任务、发展动力，中国特色社会主义的经济建设、政治建设、文化建设、社会建设、生态文明建设，祖国完全统一构想和新时期外交政策，中国特色社会主义的依靠力量和领导核心等内容。</w:t>
            </w:r>
          </w:p>
        </w:tc>
        <w:tc>
          <w:tcPr>
            <w:tcW w:w="45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708" w:type="dxa"/>
            <w:vAlign w:val="center"/>
          </w:tcPr>
          <w:p>
            <w:pPr>
              <w:ind w:firstLine="0" w:firstLineChars="0"/>
              <w:jc w:val="center"/>
              <w:rPr>
                <w:rFonts w:ascii="宋体" w:hAnsi="宋体"/>
                <w:color w:val="000000"/>
                <w:sz w:val="21"/>
                <w:szCs w:val="21"/>
              </w:rPr>
            </w:pPr>
            <w:r>
              <w:rPr>
                <w:rFonts w:ascii="宋体" w:hAnsi="宋体"/>
                <w:color w:val="00000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国家开放大学学习指南</w:t>
            </w:r>
          </w:p>
        </w:tc>
        <w:tc>
          <w:tcPr>
            <w:tcW w:w="7058" w:type="dxa"/>
            <w:vAlign w:val="center"/>
          </w:tcPr>
          <w:p>
            <w:pPr>
              <w:ind w:firstLine="420"/>
              <w:rPr>
                <w:rFonts w:ascii="宋体" w:hAnsi="宋体"/>
                <w:color w:val="000000"/>
                <w:sz w:val="21"/>
                <w:szCs w:val="21"/>
              </w:rPr>
            </w:pPr>
            <w:r>
              <w:rPr>
                <w:rFonts w:ascii="宋体" w:hAnsi="宋体"/>
                <w:color w:val="000000"/>
                <w:sz w:val="21"/>
                <w:szCs w:val="21"/>
              </w:rPr>
              <w:t>本课程是国家开放大学在本、专、一村一的所有专业开设的一门统设必修课。本课程的教学目的是使接受国家开放大学远程教育的学生在进入专业</w:t>
            </w:r>
            <w:r>
              <w:rPr>
                <w:rFonts w:hint="eastAsia" w:ascii="宋体" w:hAnsi="宋体"/>
                <w:color w:val="000000"/>
                <w:sz w:val="21"/>
                <w:szCs w:val="21"/>
              </w:rPr>
              <w:t>（</w:t>
            </w:r>
            <w:r>
              <w:rPr>
                <w:rFonts w:ascii="宋体" w:hAnsi="宋体"/>
                <w:color w:val="000000"/>
                <w:sz w:val="21"/>
                <w:szCs w:val="21"/>
              </w:rPr>
              <w:t>课程</w:t>
            </w:r>
            <w:r>
              <w:rPr>
                <w:rFonts w:hint="eastAsia" w:ascii="宋体" w:hAnsi="宋体"/>
                <w:color w:val="000000"/>
                <w:sz w:val="21"/>
                <w:szCs w:val="21"/>
              </w:rPr>
              <w:t>）</w:t>
            </w:r>
            <w:r>
              <w:rPr>
                <w:rFonts w:ascii="宋体" w:hAnsi="宋体"/>
                <w:color w:val="000000"/>
                <w:sz w:val="21"/>
                <w:szCs w:val="21"/>
              </w:rPr>
              <w:t>学习之前</w:t>
            </w:r>
            <w:r>
              <w:rPr>
                <w:rFonts w:hint="eastAsia" w:ascii="宋体" w:hAnsi="宋体"/>
                <w:color w:val="000000"/>
                <w:sz w:val="21"/>
                <w:szCs w:val="21"/>
              </w:rPr>
              <w:t>，</w:t>
            </w:r>
            <w:r>
              <w:rPr>
                <w:rFonts w:ascii="宋体" w:hAnsi="宋体"/>
                <w:color w:val="000000"/>
                <w:sz w:val="21"/>
                <w:szCs w:val="21"/>
              </w:rPr>
              <w:t>了解和熟悉远程教育新的学习环境</w:t>
            </w:r>
            <w:r>
              <w:rPr>
                <w:rFonts w:hint="eastAsia" w:ascii="宋体" w:hAnsi="宋体"/>
                <w:color w:val="000000"/>
                <w:sz w:val="21"/>
                <w:szCs w:val="21"/>
              </w:rPr>
              <w:t>，</w:t>
            </w:r>
            <w:r>
              <w:rPr>
                <w:rFonts w:ascii="宋体" w:hAnsi="宋体"/>
                <w:color w:val="000000"/>
                <w:sz w:val="21"/>
                <w:szCs w:val="21"/>
              </w:rPr>
              <w:t>建立与远程教学模式相适应的新的学习理念</w:t>
            </w:r>
            <w:r>
              <w:rPr>
                <w:rFonts w:hint="eastAsia" w:ascii="宋体" w:hAnsi="宋体"/>
                <w:color w:val="000000"/>
                <w:sz w:val="21"/>
                <w:szCs w:val="21"/>
              </w:rPr>
              <w:t>，</w:t>
            </w:r>
            <w:r>
              <w:rPr>
                <w:rFonts w:ascii="宋体" w:hAnsi="宋体"/>
                <w:color w:val="000000"/>
                <w:sz w:val="21"/>
                <w:szCs w:val="21"/>
              </w:rPr>
              <w:t>了解并尽快适应远程教育教与学的方式</w:t>
            </w:r>
            <w:r>
              <w:rPr>
                <w:rFonts w:hint="eastAsia" w:ascii="宋体" w:hAnsi="宋体"/>
                <w:color w:val="000000"/>
                <w:sz w:val="21"/>
                <w:szCs w:val="21"/>
              </w:rPr>
              <w:t>，</w:t>
            </w:r>
            <w:r>
              <w:rPr>
                <w:rFonts w:ascii="宋体" w:hAnsi="宋体"/>
                <w:color w:val="000000"/>
                <w:sz w:val="21"/>
                <w:szCs w:val="21"/>
              </w:rPr>
              <w:t>掌握基本的学习技能</w:t>
            </w:r>
            <w:r>
              <w:rPr>
                <w:rFonts w:hint="eastAsia" w:ascii="宋体" w:hAnsi="宋体"/>
                <w:color w:val="000000"/>
                <w:sz w:val="21"/>
                <w:szCs w:val="21"/>
              </w:rPr>
              <w:t>，</w:t>
            </w:r>
            <w:r>
              <w:rPr>
                <w:rFonts w:ascii="宋体" w:hAnsi="宋体"/>
                <w:color w:val="000000"/>
                <w:sz w:val="21"/>
                <w:szCs w:val="21"/>
              </w:rPr>
              <w:t>逐步培养自主学习的习惯和能力。</w:t>
            </w:r>
          </w:p>
          <w:p>
            <w:pPr>
              <w:ind w:firstLine="420"/>
              <w:rPr>
                <w:rFonts w:ascii="宋体" w:hAnsi="宋体"/>
                <w:color w:val="000000"/>
                <w:sz w:val="21"/>
                <w:szCs w:val="21"/>
              </w:rPr>
            </w:pPr>
            <w:r>
              <w:rPr>
                <w:rFonts w:ascii="宋体" w:hAnsi="宋体"/>
                <w:color w:val="000000"/>
                <w:sz w:val="21"/>
                <w:szCs w:val="21"/>
              </w:rPr>
              <w:t>本课程的主要</w:t>
            </w:r>
            <w:r>
              <w:rPr>
                <w:rFonts w:hint="eastAsia" w:ascii="宋体" w:hAnsi="宋体"/>
                <w:color w:val="000000"/>
                <w:sz w:val="21"/>
                <w:szCs w:val="21"/>
              </w:rPr>
              <w:t>介绍了</w:t>
            </w:r>
            <w:r>
              <w:rPr>
                <w:rFonts w:ascii="宋体" w:hAnsi="宋体"/>
                <w:color w:val="000000"/>
                <w:sz w:val="21"/>
                <w:szCs w:val="21"/>
              </w:rPr>
              <w:t>以完成学习任务的过程为导向，从学习者如何完成国家开放大学规定的专业学习任务的角度，让学习者学会如何完成一门课程的学习、一个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tc>
        <w:tc>
          <w:tcPr>
            <w:tcW w:w="45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708" w:type="dxa"/>
            <w:vAlign w:val="center"/>
          </w:tcPr>
          <w:p>
            <w:pPr>
              <w:ind w:firstLine="0" w:firstLineChars="0"/>
              <w:jc w:val="center"/>
              <w:rPr>
                <w:rFonts w:ascii="宋体" w:hAnsi="宋体"/>
                <w:color w:val="000000"/>
                <w:sz w:val="21"/>
                <w:szCs w:val="21"/>
              </w:rPr>
            </w:pPr>
            <w:r>
              <w:rPr>
                <w:rFonts w:ascii="宋体" w:hAnsi="宋体"/>
                <w:color w:val="000000"/>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709"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ind w:firstLine="0" w:firstLineChars="0"/>
              <w:jc w:val="center"/>
              <w:rPr>
                <w:rFonts w:ascii="宋体" w:hAnsi="宋体" w:cs="宋体"/>
                <w:color w:val="000000"/>
                <w:kern w:val="1"/>
              </w:rPr>
            </w:pPr>
            <w:r>
              <w:rPr>
                <w:rFonts w:ascii="宋体" w:hAnsi="宋体" w:cs="宋体"/>
                <w:color w:val="000000"/>
                <w:kern w:val="1"/>
              </w:rPr>
              <w:t>英语</w:t>
            </w:r>
            <w:r>
              <w:rPr>
                <w:rFonts w:hint="eastAsia" w:ascii="宋体" w:hAnsi="宋体" w:cs="宋体"/>
                <w:color w:val="000000"/>
                <w:kern w:val="1"/>
              </w:rPr>
              <w:t>Ⅰ（</w:t>
            </w:r>
            <w:r>
              <w:rPr>
                <w:rFonts w:ascii="宋体" w:hAnsi="宋体" w:cs="宋体"/>
                <w:color w:val="000000"/>
                <w:kern w:val="1"/>
              </w:rPr>
              <w:t>1</w:t>
            </w:r>
            <w:r>
              <w:rPr>
                <w:rFonts w:hint="eastAsia" w:ascii="宋体" w:hAnsi="宋体" w:cs="宋体"/>
                <w:color w:val="000000"/>
                <w:kern w:val="1"/>
              </w:rPr>
              <w:t>）</w:t>
            </w:r>
          </w:p>
        </w:tc>
        <w:tc>
          <w:tcPr>
            <w:tcW w:w="7058" w:type="dxa"/>
            <w:vAlign w:val="center"/>
          </w:tcPr>
          <w:p>
            <w:pPr>
              <w:ind w:firstLine="420"/>
              <w:rPr>
                <w:rFonts w:ascii="宋体" w:hAnsi="宋体"/>
                <w:color w:val="000000"/>
                <w:sz w:val="21"/>
                <w:szCs w:val="21"/>
              </w:rPr>
            </w:pPr>
            <w:r>
              <w:rPr>
                <w:rFonts w:ascii="宋体" w:hAnsi="宋体"/>
                <w:color w:val="000000"/>
                <w:sz w:val="21"/>
                <w:szCs w:val="21"/>
              </w:rPr>
              <w:t>本课程是公共英语课程。通过课程的学习，学生应能掌握1600左右的常用词汇（包括入学时要求掌握的600词）和若干相关的常用词组及基础语法知识；能够听懂发音清楚、语速较慢的教学用语和日常生活用语，并能用英语进行简单的日常交谈；能够读懂所学词汇和语法范围内的故事、短文及通知、便条等；能够写出简短的私人信函，或用便条转达具体信息。</w:t>
            </w:r>
          </w:p>
        </w:tc>
        <w:tc>
          <w:tcPr>
            <w:tcW w:w="457"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708" w:type="dxa"/>
            <w:vAlign w:val="center"/>
          </w:tcPr>
          <w:p>
            <w:pPr>
              <w:ind w:firstLine="0" w:firstLineChars="0"/>
              <w:jc w:val="center"/>
              <w:rPr>
                <w:rFonts w:ascii="宋体" w:hAnsi="宋体"/>
                <w:color w:val="000000"/>
                <w:sz w:val="21"/>
                <w:szCs w:val="21"/>
              </w:rPr>
            </w:pPr>
            <w:r>
              <w:rPr>
                <w:rFonts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tcBorders>
              <w:bottom w:val="single" w:color="auto" w:sz="8" w:space="0"/>
            </w:tcBorders>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高等</w:t>
            </w:r>
            <w:r>
              <w:rPr>
                <w:rFonts w:ascii="宋体" w:hAnsi="宋体" w:cs="宋体"/>
                <w:color w:val="000000"/>
                <w:kern w:val="1"/>
              </w:rPr>
              <w:t>数</w:t>
            </w:r>
            <w:r>
              <w:rPr>
                <w:rFonts w:hint="eastAsia" w:ascii="宋体" w:hAnsi="宋体" w:cs="宋体"/>
                <w:color w:val="000000"/>
                <w:kern w:val="1"/>
              </w:rPr>
              <w:t>学</w:t>
            </w:r>
            <w:r>
              <w:rPr>
                <w:rFonts w:ascii="宋体" w:hAnsi="宋体" w:cs="宋体"/>
                <w:color w:val="000000"/>
                <w:kern w:val="1"/>
              </w:rPr>
              <w:t>基础</w:t>
            </w:r>
          </w:p>
        </w:tc>
        <w:tc>
          <w:tcPr>
            <w:tcW w:w="7058" w:type="dxa"/>
            <w:tcBorders>
              <w:bottom w:val="single" w:color="auto" w:sz="8" w:space="0"/>
            </w:tcBorders>
            <w:vAlign w:val="center"/>
          </w:tcPr>
          <w:p>
            <w:pPr>
              <w:ind w:firstLine="420"/>
              <w:rPr>
                <w:rFonts w:ascii="宋体" w:hAnsi="宋体"/>
                <w:color w:val="000000"/>
                <w:sz w:val="21"/>
                <w:szCs w:val="21"/>
              </w:rPr>
            </w:pPr>
            <w:r>
              <w:rPr>
                <w:rFonts w:ascii="宋体" w:hAnsi="宋体"/>
                <w:color w:val="000000"/>
                <w:sz w:val="21"/>
                <w:szCs w:val="21"/>
              </w:rPr>
              <w:t>本课程</w:t>
            </w:r>
            <w:r>
              <w:rPr>
                <w:rFonts w:hint="eastAsia" w:ascii="宋体" w:hAnsi="宋体"/>
                <w:color w:val="000000"/>
                <w:sz w:val="21"/>
                <w:szCs w:val="21"/>
              </w:rPr>
              <w:t>是国家开放</w:t>
            </w:r>
            <w:r>
              <w:rPr>
                <w:rFonts w:ascii="宋体" w:hAnsi="宋体"/>
                <w:color w:val="000000"/>
                <w:sz w:val="21"/>
                <w:szCs w:val="21"/>
              </w:rPr>
              <w:t>大学工科专业的一门重要</w:t>
            </w:r>
            <w:r>
              <w:rPr>
                <w:rFonts w:hint="eastAsia" w:ascii="宋体" w:hAnsi="宋体"/>
                <w:color w:val="000000"/>
                <w:sz w:val="21"/>
                <w:szCs w:val="21"/>
              </w:rPr>
              <w:t>的</w:t>
            </w:r>
            <w:r>
              <w:rPr>
                <w:rFonts w:ascii="宋体" w:hAnsi="宋体"/>
                <w:color w:val="000000"/>
                <w:sz w:val="21"/>
                <w:szCs w:val="21"/>
              </w:rPr>
              <w:t>公共基础课，是为培养社会主义建设需要的高等职业技术人才服务的。</w:t>
            </w:r>
          </w:p>
          <w:p>
            <w:pPr>
              <w:ind w:firstLine="420"/>
              <w:rPr>
                <w:rFonts w:ascii="宋体" w:hAnsi="宋体"/>
                <w:color w:val="000000"/>
                <w:sz w:val="21"/>
                <w:szCs w:val="21"/>
              </w:rPr>
            </w:pPr>
            <w:r>
              <w:rPr>
                <w:rFonts w:ascii="宋体" w:hAnsi="宋体"/>
                <w:color w:val="000000"/>
                <w:sz w:val="21"/>
                <w:szCs w:val="21"/>
              </w:rPr>
              <w:t>本课程</w:t>
            </w:r>
            <w:r>
              <w:rPr>
                <w:rFonts w:hint="eastAsia" w:ascii="宋体" w:hAnsi="宋体"/>
                <w:color w:val="000000"/>
                <w:sz w:val="21"/>
                <w:szCs w:val="21"/>
              </w:rPr>
              <w:t>主要</w:t>
            </w:r>
            <w:r>
              <w:rPr>
                <w:rFonts w:ascii="宋体" w:hAnsi="宋体"/>
                <w:color w:val="000000"/>
                <w:sz w:val="21"/>
                <w:szCs w:val="21"/>
              </w:rPr>
              <w:t>介绍了函数、极限与连续、导数与微分、导数应用、不定积分和定积分及其应用。通过本课程的学习，使学生系统地获得一元函数微积分的基本知识，掌握必要的基础理论和常用的计算方法，使学生初步受到用数学方法解决实际问题的能力训练。</w:t>
            </w:r>
          </w:p>
        </w:tc>
        <w:tc>
          <w:tcPr>
            <w:tcW w:w="457" w:type="dxa"/>
            <w:tcBorders>
              <w:bottom w:val="single" w:color="auto" w:sz="8" w:space="0"/>
            </w:tcBorders>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3</w:t>
            </w:r>
          </w:p>
        </w:tc>
        <w:tc>
          <w:tcPr>
            <w:tcW w:w="708" w:type="dxa"/>
            <w:tcBorders>
              <w:bottom w:val="single" w:color="auto" w:sz="8"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tcBorders>
              <w:top w:val="single" w:color="auto" w:sz="8" w:space="0"/>
              <w:bottom w:val="single" w:color="auto" w:sz="12" w:space="0"/>
            </w:tcBorders>
            <w:vAlign w:val="center"/>
          </w:tcPr>
          <w:p>
            <w:pPr>
              <w:spacing w:line="240" w:lineRule="auto"/>
              <w:ind w:firstLine="0" w:firstLineChars="0"/>
              <w:jc w:val="left"/>
              <w:rPr>
                <w:rFonts w:ascii="宋体" w:hAnsi="宋体" w:cs="宋体"/>
                <w:color w:val="000000"/>
                <w:kern w:val="1"/>
              </w:rPr>
            </w:pPr>
            <w:r>
              <w:rPr>
                <w:rFonts w:ascii="宋体" w:hAnsi="宋体" w:cs="宋体"/>
                <w:color w:val="000000"/>
                <w:kern w:val="1"/>
              </w:rPr>
              <w:t>计算机</w:t>
            </w:r>
            <w:r>
              <w:rPr>
                <w:rFonts w:hint="eastAsia" w:ascii="宋体" w:hAnsi="宋体" w:cs="宋体"/>
                <w:color w:val="000000"/>
                <w:kern w:val="1"/>
              </w:rPr>
              <w:t>文化</w:t>
            </w:r>
            <w:r>
              <w:rPr>
                <w:rFonts w:ascii="宋体" w:hAnsi="宋体" w:cs="宋体"/>
                <w:color w:val="000000"/>
                <w:kern w:val="1"/>
              </w:rPr>
              <w:t>基础</w:t>
            </w:r>
          </w:p>
        </w:tc>
        <w:tc>
          <w:tcPr>
            <w:tcW w:w="7058" w:type="dxa"/>
            <w:tcBorders>
              <w:top w:val="single" w:color="auto" w:sz="8" w:space="0"/>
              <w:bottom w:val="single" w:color="auto" w:sz="12" w:space="0"/>
            </w:tcBorders>
            <w:vAlign w:val="center"/>
          </w:tcPr>
          <w:p>
            <w:pPr>
              <w:ind w:firstLine="420"/>
              <w:rPr>
                <w:rFonts w:ascii="宋体" w:hAnsi="宋体"/>
                <w:color w:val="000000"/>
                <w:sz w:val="21"/>
                <w:szCs w:val="21"/>
              </w:rPr>
            </w:pPr>
            <w:r>
              <w:rPr>
                <w:rFonts w:ascii="宋体" w:hAnsi="宋体"/>
                <w:color w:val="000000"/>
                <w:sz w:val="21"/>
                <w:szCs w:val="21"/>
              </w:rPr>
              <w:t>本课程</w:t>
            </w:r>
            <w:r>
              <w:rPr>
                <w:rFonts w:hint="eastAsia" w:ascii="宋体" w:hAnsi="宋体"/>
                <w:color w:val="000000"/>
                <w:sz w:val="21"/>
                <w:szCs w:val="21"/>
              </w:rPr>
              <w:t>是安全技术</w:t>
            </w:r>
            <w:r>
              <w:rPr>
                <w:rFonts w:ascii="宋体" w:hAnsi="宋体"/>
                <w:color w:val="000000"/>
                <w:sz w:val="21"/>
                <w:szCs w:val="21"/>
              </w:rPr>
              <w:t>与管理</w:t>
            </w:r>
            <w:r>
              <w:rPr>
                <w:rFonts w:hint="eastAsia" w:ascii="宋体" w:hAnsi="宋体"/>
                <w:color w:val="000000"/>
                <w:sz w:val="21"/>
                <w:szCs w:val="21"/>
              </w:rPr>
              <w:t>专业的一门公共基础课程。该课程的教学目的在于其主要作用是使非专业学生具备必须的信息意识和素养，了解计算机和网络的基本常识，具备计算机和网络技术的基本应用技能，具有文字处理、数据处理能力，信息获取、整合、加工能力等较全面的信息处理能力，以计算机和网络应用技术做工具为其专业学习服务，提高专业续航能力，同时为其今后的职业工作、生活和可持续发展奠定信息技术应用基础。</w:t>
            </w:r>
          </w:p>
        </w:tc>
        <w:tc>
          <w:tcPr>
            <w:tcW w:w="457" w:type="dxa"/>
            <w:tcBorders>
              <w:top w:val="single" w:color="auto" w:sz="8" w:space="0"/>
              <w:bottom w:val="single" w:color="auto" w:sz="12" w:space="0"/>
            </w:tcBorders>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708" w:type="dxa"/>
            <w:tcBorders>
              <w:top w:val="single" w:color="auto" w:sz="8" w:space="0"/>
              <w:bottom w:val="single" w:color="auto" w:sz="12" w:space="0"/>
            </w:tcBorders>
            <w:vAlign w:val="center"/>
          </w:tcPr>
          <w:p>
            <w:pPr>
              <w:ind w:firstLine="0" w:firstLineChars="0"/>
              <w:jc w:val="center"/>
              <w:rPr>
                <w:rFonts w:ascii="宋体" w:hAnsi="宋体"/>
                <w:color w:val="000000"/>
                <w:sz w:val="21"/>
                <w:szCs w:val="21"/>
              </w:rPr>
            </w:pPr>
            <w:r>
              <w:rPr>
                <w:rFonts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782" w:type="dxa"/>
            <w:gridSpan w:val="5"/>
            <w:tcBorders>
              <w:top w:val="single" w:color="auto" w:sz="12" w:space="0"/>
              <w:left w:val="nil"/>
              <w:right w:val="nil"/>
            </w:tcBorders>
            <w:vAlign w:val="center"/>
          </w:tcPr>
          <w:p>
            <w:pPr>
              <w:ind w:firstLine="0" w:firstLineChars="0"/>
              <w:rPr>
                <w:rFonts w:eastAsia="方正书宋简体"/>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709" w:type="dxa"/>
            <w:vMerge w:val="restart"/>
            <w:tcBorders>
              <w:top w:val="single" w:color="auto" w:sz="12" w:space="0"/>
            </w:tcBorders>
            <w:vAlign w:val="center"/>
          </w:tcPr>
          <w:p>
            <w:pPr>
              <w:ind w:firstLine="0" w:firstLineChars="0"/>
              <w:jc w:val="left"/>
              <w:rPr>
                <w:rFonts w:ascii="宋体" w:hAnsi="宋体"/>
                <w:color w:val="000000"/>
              </w:rPr>
            </w:pPr>
            <w:r>
              <w:rPr>
                <w:rFonts w:hint="eastAsia" w:ascii="宋体" w:hAnsi="宋体"/>
                <w:color w:val="000000"/>
              </w:rPr>
              <w:t>专业</w:t>
            </w:r>
            <w:r>
              <w:rPr>
                <w:rFonts w:ascii="宋体" w:hAnsi="宋体"/>
                <w:color w:val="000000"/>
              </w:rPr>
              <w:t>基础课</w:t>
            </w:r>
          </w:p>
        </w:tc>
        <w:tc>
          <w:tcPr>
            <w:tcW w:w="850" w:type="dxa"/>
            <w:tcBorders>
              <w:top w:val="single" w:color="auto" w:sz="12" w:space="0"/>
            </w:tcBorders>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工程制图基础</w:t>
            </w:r>
          </w:p>
        </w:tc>
        <w:tc>
          <w:tcPr>
            <w:tcW w:w="7058" w:type="dxa"/>
            <w:tcBorders>
              <w:top w:val="single" w:color="auto" w:sz="12" w:space="0"/>
            </w:tcBorders>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课程主要介绍画法几何的理论基础，并突出工程实际的概念</w:t>
            </w:r>
            <w:r>
              <w:rPr>
                <w:rFonts w:hint="eastAsia" w:ascii="宋体" w:hAnsi="宋体"/>
                <w:color w:val="000000"/>
                <w:sz w:val="21"/>
                <w:szCs w:val="21"/>
              </w:rPr>
              <w:t>，</w:t>
            </w:r>
            <w:r>
              <w:rPr>
                <w:rFonts w:ascii="宋体" w:hAnsi="宋体"/>
                <w:color w:val="000000"/>
                <w:sz w:val="21"/>
                <w:szCs w:val="21"/>
              </w:rPr>
              <w:t>文字叙述详尽，配图恰当</w:t>
            </w:r>
            <w:r>
              <w:rPr>
                <w:rFonts w:hint="eastAsia" w:ascii="宋体" w:hAnsi="宋体"/>
                <w:color w:val="000000"/>
                <w:sz w:val="21"/>
                <w:szCs w:val="21"/>
              </w:rPr>
              <w:t>，并</w:t>
            </w:r>
            <w:r>
              <w:rPr>
                <w:rFonts w:ascii="宋体" w:hAnsi="宋体"/>
                <w:color w:val="000000"/>
                <w:sz w:val="21"/>
                <w:szCs w:val="21"/>
              </w:rPr>
              <w:t>介绍现代计算机绘图技术和方法</w:t>
            </w:r>
            <w:r>
              <w:rPr>
                <w:rFonts w:hint="eastAsia" w:ascii="宋体" w:hAnsi="宋体"/>
                <w:color w:val="000000"/>
                <w:sz w:val="21"/>
                <w:szCs w:val="21"/>
              </w:rPr>
              <w:t>，同</w:t>
            </w:r>
            <w:r>
              <w:rPr>
                <w:rFonts w:ascii="宋体" w:hAnsi="宋体"/>
                <w:color w:val="000000"/>
                <w:sz w:val="21"/>
                <w:szCs w:val="21"/>
              </w:rPr>
              <w:t>时强调工程草图的作用</w:t>
            </w:r>
            <w:r>
              <w:rPr>
                <w:rFonts w:hint="eastAsia" w:ascii="宋体" w:hAnsi="宋体"/>
                <w:color w:val="000000"/>
                <w:sz w:val="21"/>
                <w:szCs w:val="21"/>
              </w:rPr>
              <w:t>。</w:t>
            </w:r>
            <w:r>
              <w:rPr>
                <w:rFonts w:ascii="宋体" w:hAnsi="宋体"/>
                <w:color w:val="000000"/>
                <w:sz w:val="21"/>
                <w:szCs w:val="21"/>
              </w:rPr>
              <w:t>内容包括</w:t>
            </w:r>
            <w:r>
              <w:rPr>
                <w:rFonts w:hint="eastAsia" w:ascii="宋体" w:hAnsi="宋体"/>
                <w:color w:val="000000"/>
                <w:sz w:val="21"/>
                <w:szCs w:val="21"/>
              </w:rPr>
              <w:t>：</w:t>
            </w:r>
            <w:r>
              <w:rPr>
                <w:rFonts w:ascii="宋体" w:hAnsi="宋体"/>
                <w:color w:val="000000"/>
                <w:sz w:val="21"/>
                <w:szCs w:val="21"/>
              </w:rPr>
              <w:t>制图基本知识，投影基础，立体的截切与相贯、组合体、轴测图，机件常用的表达方法、标准件与常用件、零件图、装配图、AutoCAD绘图简介、电子电器制图简介等。</w:t>
            </w:r>
          </w:p>
        </w:tc>
        <w:tc>
          <w:tcPr>
            <w:tcW w:w="457" w:type="dxa"/>
            <w:tcBorders>
              <w:top w:val="single" w:color="auto" w:sz="12" w:space="0"/>
            </w:tcBorders>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c>
          <w:tcPr>
            <w:tcW w:w="708" w:type="dxa"/>
            <w:tcBorders>
              <w:top w:val="single" w:color="auto" w:sz="12"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9" w:hRule="atLeast"/>
        </w:trPr>
        <w:tc>
          <w:tcPr>
            <w:tcW w:w="709"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center"/>
              <w:rPr>
                <w:rFonts w:ascii="Calibri" w:hAnsi="Calibri"/>
                <w:color w:val="000000"/>
              </w:rPr>
            </w:pPr>
            <w:r>
              <w:rPr>
                <w:rFonts w:ascii="Calibri" w:hAnsi="Calibri"/>
                <w:color w:val="000000"/>
              </w:rPr>
              <w:t>安全系统工程</w:t>
            </w:r>
          </w:p>
        </w:tc>
        <w:tc>
          <w:tcPr>
            <w:tcW w:w="7058" w:type="dxa"/>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系统地介绍系统安全分析、伤亡事故统计分析、安全评价实务、系统安全决策与危险控制等基本概念、原理及方法。此外，还特别结合矿山生产工艺系统安全技术与管理工作，兼顾矿物加工技术及尾矿设施管理系统安全，介绍了大量的应用实例。</w:t>
            </w:r>
          </w:p>
        </w:tc>
        <w:tc>
          <w:tcPr>
            <w:tcW w:w="457" w:type="dxa"/>
            <w:vAlign w:val="center"/>
          </w:tcPr>
          <w:p>
            <w:pPr>
              <w:ind w:firstLine="0" w:firstLineChars="0"/>
              <w:rPr>
                <w:rFonts w:ascii="宋体" w:hAnsi="宋体"/>
                <w:color w:val="000000"/>
                <w:sz w:val="21"/>
                <w:szCs w:val="21"/>
              </w:rPr>
            </w:pPr>
            <w:r>
              <w:rPr>
                <w:rFonts w:ascii="宋体" w:hAnsi="宋体"/>
                <w:color w:val="000000"/>
                <w:sz w:val="21"/>
                <w:szCs w:val="21"/>
              </w:rPr>
              <w:t>3</w:t>
            </w:r>
          </w:p>
        </w:tc>
        <w:tc>
          <w:tcPr>
            <w:tcW w:w="708" w:type="dxa"/>
            <w:vAlign w:val="center"/>
          </w:tcPr>
          <w:p>
            <w:pPr>
              <w:ind w:firstLine="0" w:firstLineChars="0"/>
              <w:rPr>
                <w:rFonts w:ascii="宋体" w:hAnsi="宋体"/>
                <w:color w:val="000000"/>
                <w:sz w:val="21"/>
                <w:szCs w:val="21"/>
              </w:rPr>
            </w:pPr>
            <w:r>
              <w:rPr>
                <w:rFonts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安全</w:t>
            </w:r>
            <w:r>
              <w:rPr>
                <w:rFonts w:ascii="宋体" w:hAnsi="宋体" w:cs="宋体"/>
                <w:color w:val="000000"/>
                <w:kern w:val="1"/>
              </w:rPr>
              <w:t>管理</w:t>
            </w:r>
          </w:p>
        </w:tc>
        <w:tc>
          <w:tcPr>
            <w:tcW w:w="7058" w:type="dxa"/>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w:t>
            </w:r>
            <w:r>
              <w:rPr>
                <w:rFonts w:hint="eastAsia" w:ascii="宋体" w:hAnsi="宋体"/>
                <w:color w:val="000000"/>
                <w:sz w:val="21"/>
                <w:szCs w:val="21"/>
              </w:rPr>
              <w:t>主要</w:t>
            </w:r>
            <w:r>
              <w:rPr>
                <w:rFonts w:ascii="宋体" w:hAnsi="宋体"/>
                <w:color w:val="000000"/>
                <w:sz w:val="21"/>
                <w:szCs w:val="21"/>
              </w:rPr>
              <w:t>介绍安全管理学理论基础</w:t>
            </w:r>
            <w:r>
              <w:rPr>
                <w:rFonts w:hint="eastAsia" w:ascii="宋体" w:hAnsi="宋体"/>
                <w:color w:val="000000"/>
                <w:sz w:val="21"/>
                <w:szCs w:val="21"/>
              </w:rPr>
              <w:t>、</w:t>
            </w:r>
            <w:r>
              <w:rPr>
                <w:rFonts w:ascii="宋体" w:hAnsi="宋体"/>
                <w:color w:val="000000"/>
                <w:sz w:val="21"/>
                <w:szCs w:val="21"/>
              </w:rPr>
              <w:t>安全文化</w:t>
            </w:r>
            <w:r>
              <w:rPr>
                <w:rFonts w:hint="eastAsia" w:ascii="宋体" w:hAnsi="宋体"/>
                <w:color w:val="000000"/>
                <w:sz w:val="21"/>
                <w:szCs w:val="21"/>
              </w:rPr>
              <w:t>、</w:t>
            </w:r>
            <w:r>
              <w:rPr>
                <w:rFonts w:ascii="宋体" w:hAnsi="宋体"/>
                <w:color w:val="000000"/>
                <w:sz w:val="21"/>
                <w:szCs w:val="21"/>
              </w:rPr>
              <w:t>安全管理方法</w:t>
            </w:r>
            <w:r>
              <w:rPr>
                <w:rFonts w:hint="eastAsia" w:ascii="宋体" w:hAnsi="宋体"/>
                <w:color w:val="000000"/>
                <w:sz w:val="21"/>
                <w:szCs w:val="21"/>
              </w:rPr>
              <w:t>、</w:t>
            </w:r>
            <w:r>
              <w:rPr>
                <w:rFonts w:ascii="宋体" w:hAnsi="宋体"/>
                <w:color w:val="000000"/>
                <w:sz w:val="21"/>
                <w:szCs w:val="21"/>
              </w:rPr>
              <w:t>安全目标管理</w:t>
            </w:r>
            <w:r>
              <w:rPr>
                <w:rFonts w:hint="eastAsia" w:ascii="宋体" w:hAnsi="宋体"/>
                <w:color w:val="000000"/>
                <w:sz w:val="21"/>
                <w:szCs w:val="21"/>
              </w:rPr>
              <w:t>、</w:t>
            </w:r>
            <w:r>
              <w:rPr>
                <w:rFonts w:ascii="宋体" w:hAnsi="宋体"/>
                <w:color w:val="000000"/>
                <w:sz w:val="21"/>
                <w:szCs w:val="21"/>
              </w:rPr>
              <w:t>系统安全管理</w:t>
            </w:r>
            <w:r>
              <w:rPr>
                <w:rFonts w:hint="eastAsia" w:ascii="宋体" w:hAnsi="宋体"/>
                <w:color w:val="000000"/>
                <w:sz w:val="21"/>
                <w:szCs w:val="21"/>
              </w:rPr>
              <w:t>、</w:t>
            </w:r>
            <w:r>
              <w:rPr>
                <w:rFonts w:ascii="宋体" w:hAnsi="宋体"/>
                <w:color w:val="000000"/>
                <w:sz w:val="21"/>
                <w:szCs w:val="21"/>
              </w:rPr>
              <w:t>安全生产法规</w:t>
            </w:r>
            <w:r>
              <w:rPr>
                <w:rFonts w:hint="eastAsia" w:ascii="宋体" w:hAnsi="宋体"/>
                <w:color w:val="000000"/>
                <w:sz w:val="21"/>
                <w:szCs w:val="21"/>
              </w:rPr>
              <w:t>、</w:t>
            </w:r>
            <w:r>
              <w:rPr>
                <w:rFonts w:ascii="宋体" w:hAnsi="宋体"/>
                <w:color w:val="000000"/>
                <w:sz w:val="21"/>
                <w:szCs w:val="21"/>
              </w:rPr>
              <w:t>职业安全健康管理体系</w:t>
            </w:r>
            <w:r>
              <w:rPr>
                <w:rFonts w:hint="eastAsia" w:ascii="宋体" w:hAnsi="宋体"/>
                <w:color w:val="000000"/>
                <w:sz w:val="21"/>
                <w:szCs w:val="21"/>
              </w:rPr>
              <w:t>、</w:t>
            </w:r>
            <w:r>
              <w:rPr>
                <w:rFonts w:ascii="宋体" w:hAnsi="宋体"/>
                <w:color w:val="000000"/>
                <w:sz w:val="21"/>
                <w:szCs w:val="21"/>
              </w:rPr>
              <w:t>安全信息管理</w:t>
            </w:r>
            <w:r>
              <w:rPr>
                <w:rFonts w:hint="eastAsia" w:ascii="宋体" w:hAnsi="宋体"/>
                <w:color w:val="000000"/>
                <w:sz w:val="21"/>
                <w:szCs w:val="21"/>
              </w:rPr>
              <w:t>、</w:t>
            </w:r>
            <w:r>
              <w:rPr>
                <w:rFonts w:ascii="宋体" w:hAnsi="宋体"/>
                <w:color w:val="000000"/>
                <w:sz w:val="21"/>
                <w:szCs w:val="21"/>
              </w:rPr>
              <w:t>事故统计及分析</w:t>
            </w:r>
            <w:r>
              <w:rPr>
                <w:rFonts w:hint="eastAsia" w:ascii="宋体" w:hAnsi="宋体"/>
                <w:color w:val="000000"/>
                <w:sz w:val="21"/>
                <w:szCs w:val="21"/>
              </w:rPr>
              <w:t>、</w:t>
            </w:r>
            <w:r>
              <w:rPr>
                <w:rFonts w:ascii="宋体" w:hAnsi="宋体"/>
                <w:color w:val="000000"/>
                <w:sz w:val="21"/>
                <w:szCs w:val="21"/>
              </w:rPr>
              <w:t>事故调查与处理</w:t>
            </w:r>
            <w:r>
              <w:rPr>
                <w:rFonts w:hint="eastAsia" w:ascii="宋体" w:hAnsi="宋体"/>
                <w:color w:val="000000"/>
                <w:sz w:val="21"/>
                <w:szCs w:val="21"/>
              </w:rPr>
              <w:t>、</w:t>
            </w:r>
            <w:r>
              <w:rPr>
                <w:rFonts w:ascii="宋体" w:hAnsi="宋体"/>
                <w:color w:val="000000"/>
                <w:sz w:val="21"/>
                <w:szCs w:val="21"/>
              </w:rPr>
              <w:t>事故预防与控制</w:t>
            </w:r>
            <w:r>
              <w:rPr>
                <w:rFonts w:hint="eastAsia" w:ascii="宋体" w:hAnsi="宋体"/>
                <w:color w:val="000000"/>
                <w:sz w:val="21"/>
                <w:szCs w:val="21"/>
              </w:rPr>
              <w:t>、</w:t>
            </w:r>
            <w:r>
              <w:rPr>
                <w:rFonts w:ascii="宋体" w:hAnsi="宋体"/>
                <w:color w:val="000000"/>
                <w:sz w:val="21"/>
                <w:szCs w:val="21"/>
              </w:rPr>
              <w:t>灾害事件与事故应急管理</w:t>
            </w:r>
            <w:r>
              <w:rPr>
                <w:rFonts w:hint="eastAsia" w:ascii="宋体" w:hAnsi="宋体"/>
                <w:color w:val="000000"/>
                <w:sz w:val="21"/>
                <w:szCs w:val="21"/>
              </w:rPr>
              <w:t>、</w:t>
            </w:r>
            <w:r>
              <w:rPr>
                <w:rFonts w:ascii="宋体" w:hAnsi="宋体"/>
                <w:color w:val="000000"/>
                <w:sz w:val="21"/>
                <w:szCs w:val="21"/>
              </w:rPr>
              <w:t>现代安全管理方法的新发展。</w:t>
            </w:r>
          </w:p>
        </w:tc>
        <w:tc>
          <w:tcPr>
            <w:tcW w:w="457"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4</w:t>
            </w:r>
          </w:p>
        </w:tc>
        <w:tc>
          <w:tcPr>
            <w:tcW w:w="708" w:type="dxa"/>
            <w:vAlign w:val="center"/>
          </w:tcPr>
          <w:p>
            <w:pPr>
              <w:ind w:firstLine="0" w:firstLineChars="0"/>
              <w:rPr>
                <w:rFonts w:ascii="宋体" w:hAnsi="宋体"/>
                <w:color w:val="000000"/>
                <w:sz w:val="21"/>
                <w:szCs w:val="21"/>
              </w:rPr>
            </w:pPr>
            <w:r>
              <w:rPr>
                <w:rFonts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安全原理</w:t>
            </w:r>
          </w:p>
        </w:tc>
        <w:tc>
          <w:tcPr>
            <w:tcW w:w="7058" w:type="dxa"/>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课程引入行为科学与安全生产有关的理论，为防止人失误，介绍安全人机学、安全心理学基本知识，以人为本的</w:t>
            </w:r>
            <w:r>
              <w:rPr>
                <w:rFonts w:hint="eastAsia" w:ascii="宋体" w:hAnsi="宋体"/>
                <w:color w:val="000000"/>
                <w:sz w:val="21"/>
                <w:szCs w:val="21"/>
              </w:rPr>
              <w:t>“</w:t>
            </w:r>
            <w:r>
              <w:rPr>
                <w:rFonts w:ascii="宋体" w:hAnsi="宋体"/>
                <w:color w:val="000000"/>
                <w:sz w:val="21"/>
                <w:szCs w:val="21"/>
              </w:rPr>
              <w:t>人本安全原理</w:t>
            </w:r>
            <w:r>
              <w:rPr>
                <w:rFonts w:hint="eastAsia" w:ascii="宋体" w:hAnsi="宋体"/>
                <w:color w:val="000000"/>
                <w:sz w:val="21"/>
                <w:szCs w:val="21"/>
              </w:rPr>
              <w:t>”</w:t>
            </w:r>
            <w:r>
              <w:rPr>
                <w:rFonts w:ascii="宋体" w:hAnsi="宋体"/>
                <w:color w:val="000000"/>
                <w:sz w:val="21"/>
                <w:szCs w:val="21"/>
              </w:rPr>
              <w:t>；物质、设备安全的</w:t>
            </w:r>
            <w:r>
              <w:rPr>
                <w:rFonts w:hint="eastAsia" w:ascii="宋体" w:hAnsi="宋体"/>
                <w:color w:val="000000"/>
                <w:sz w:val="21"/>
                <w:szCs w:val="21"/>
              </w:rPr>
              <w:t>“</w:t>
            </w:r>
            <w:r>
              <w:rPr>
                <w:rFonts w:ascii="宋体" w:hAnsi="宋体"/>
                <w:color w:val="000000"/>
                <w:sz w:val="21"/>
                <w:szCs w:val="21"/>
              </w:rPr>
              <w:t>物流安全原理</w:t>
            </w:r>
            <w:r>
              <w:rPr>
                <w:rFonts w:hint="eastAsia" w:ascii="宋体" w:hAnsi="宋体"/>
                <w:color w:val="000000"/>
                <w:sz w:val="21"/>
                <w:szCs w:val="21"/>
              </w:rPr>
              <w:t>”</w:t>
            </w:r>
            <w:r>
              <w:rPr>
                <w:rFonts w:ascii="宋体" w:hAnsi="宋体"/>
                <w:color w:val="000000"/>
                <w:sz w:val="21"/>
                <w:szCs w:val="21"/>
              </w:rPr>
              <w:t>和安全信息。</w:t>
            </w:r>
          </w:p>
        </w:tc>
        <w:tc>
          <w:tcPr>
            <w:tcW w:w="457"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4</w:t>
            </w:r>
          </w:p>
        </w:tc>
        <w:tc>
          <w:tcPr>
            <w:tcW w:w="708" w:type="dxa"/>
            <w:vAlign w:val="center"/>
          </w:tcPr>
          <w:p>
            <w:pPr>
              <w:ind w:firstLine="0" w:firstLineChars="0"/>
              <w:rPr>
                <w:rFonts w:ascii="宋体" w:hAnsi="宋体"/>
                <w:color w:val="000000"/>
                <w:sz w:val="21"/>
                <w:szCs w:val="21"/>
              </w:rPr>
            </w:pPr>
            <w:r>
              <w:rPr>
                <w:rFonts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安全人机工程</w:t>
            </w:r>
          </w:p>
        </w:tc>
        <w:tc>
          <w:tcPr>
            <w:tcW w:w="7058" w:type="dxa"/>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课程是运用人机工程学的理论和方法研究“人机环境”系统，并使三者在安全的基础上达到最佳匹配，以确保系统高效、经济运作的一门综合性的科学。</w:t>
            </w:r>
          </w:p>
        </w:tc>
        <w:tc>
          <w:tcPr>
            <w:tcW w:w="457"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3</w:t>
            </w:r>
          </w:p>
        </w:tc>
        <w:tc>
          <w:tcPr>
            <w:tcW w:w="708" w:type="dxa"/>
            <w:vAlign w:val="center"/>
          </w:tcPr>
          <w:p>
            <w:pPr>
              <w:ind w:firstLine="0" w:firstLineChars="0"/>
              <w:rPr>
                <w:rFonts w:ascii="宋体" w:hAnsi="宋体"/>
                <w:color w:val="000000"/>
                <w:sz w:val="21"/>
                <w:szCs w:val="21"/>
              </w:rPr>
            </w:pPr>
            <w:r>
              <w:rPr>
                <w:rFonts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1" w:hRule="atLeast"/>
        </w:trPr>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工业通风及除</w:t>
            </w:r>
          </w:p>
          <w:p>
            <w:pPr>
              <w:spacing w:line="240" w:lineRule="auto"/>
              <w:ind w:firstLine="0" w:firstLineChars="0"/>
              <w:rPr>
                <w:rFonts w:ascii="宋体" w:hAnsi="宋体" w:cs="宋体"/>
                <w:color w:val="000000"/>
                <w:kern w:val="1"/>
              </w:rPr>
            </w:pPr>
            <w:r>
              <w:rPr>
                <w:rFonts w:ascii="宋体" w:hAnsi="宋体" w:cs="宋体"/>
                <w:color w:val="000000"/>
                <w:kern w:val="1"/>
              </w:rPr>
              <w:t>尘</w:t>
            </w:r>
          </w:p>
        </w:tc>
        <w:tc>
          <w:tcPr>
            <w:tcW w:w="705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系统地论述适用于各行业通风除尘的通用基本理论与方法,主要内容涉及作业场所空气与粉尘、空气流动压力与阻力、通风动力、通风设施、通风系统及其风量调节、粉尘综合防治、除尘装置、通风设计、通风与粉尘测定等。 </w:t>
            </w:r>
          </w:p>
        </w:tc>
        <w:tc>
          <w:tcPr>
            <w:tcW w:w="457"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3</w:t>
            </w:r>
          </w:p>
        </w:tc>
        <w:tc>
          <w:tcPr>
            <w:tcW w:w="708" w:type="dxa"/>
            <w:vAlign w:val="center"/>
          </w:tcPr>
          <w:p>
            <w:pPr>
              <w:snapToGrid w:val="0"/>
              <w:ind w:firstLine="0" w:firstLineChars="0"/>
              <w:rPr>
                <w:rFonts w:ascii="宋体" w:hAnsi="宋体"/>
                <w:color w:val="000000"/>
                <w:sz w:val="21"/>
                <w:szCs w:val="21"/>
              </w:rPr>
            </w:pPr>
            <w:r>
              <w:rPr>
                <w:rFonts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1" w:hRule="atLeast"/>
        </w:trPr>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流体</w:t>
            </w:r>
            <w:r>
              <w:rPr>
                <w:rFonts w:ascii="宋体" w:hAnsi="宋体" w:cs="宋体"/>
                <w:color w:val="000000"/>
                <w:kern w:val="1"/>
              </w:rPr>
              <w:t>力学</w:t>
            </w:r>
            <w:r>
              <w:rPr>
                <w:rFonts w:hint="eastAsia" w:ascii="宋体" w:hAnsi="宋体" w:cs="宋体"/>
                <w:color w:val="000000"/>
                <w:kern w:val="1"/>
              </w:rPr>
              <w:t>与</w:t>
            </w:r>
            <w:r>
              <w:rPr>
                <w:rFonts w:ascii="宋体" w:hAnsi="宋体" w:cs="宋体"/>
                <w:color w:val="000000"/>
                <w:kern w:val="1"/>
              </w:rPr>
              <w:t>热工学基础</w:t>
            </w:r>
          </w:p>
        </w:tc>
        <w:tc>
          <w:tcPr>
            <w:tcW w:w="705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w:t>
            </w:r>
            <w:r>
              <w:rPr>
                <w:rFonts w:hint="eastAsia" w:ascii="宋体" w:hAnsi="宋体"/>
                <w:color w:val="000000"/>
                <w:sz w:val="21"/>
                <w:szCs w:val="21"/>
              </w:rPr>
              <w:t>主要介绍流体力学、工程热力学、传热学的内容。流体力学部分主要介绍流体的基本特性、流体静力学、流体动力学基础及能量损失与管路计算等知识；工程热力学部分在讲述工程热力学的基本理论和常用工质的性质基础上，主要论述了热工理论在工程上的一些应用，传热学部分内容包括导热、对流换热、辐射换热、传热过程及换热器。</w:t>
            </w:r>
          </w:p>
        </w:tc>
        <w:tc>
          <w:tcPr>
            <w:tcW w:w="457" w:type="dxa"/>
            <w:vAlign w:val="center"/>
          </w:tcPr>
          <w:p>
            <w:pPr>
              <w:ind w:firstLine="0" w:firstLineChars="0"/>
              <w:rPr>
                <w:rFonts w:ascii="宋体" w:hAnsi="宋体"/>
                <w:color w:val="000000"/>
                <w:kern w:val="1"/>
                <w:sz w:val="21"/>
                <w:szCs w:val="21"/>
              </w:rPr>
            </w:pPr>
            <w:r>
              <w:rPr>
                <w:rFonts w:hint="eastAsia" w:ascii="宋体" w:hAnsi="宋体"/>
                <w:color w:val="000000"/>
                <w:kern w:val="1"/>
                <w:sz w:val="21"/>
                <w:szCs w:val="21"/>
              </w:rPr>
              <w:t>2</w:t>
            </w:r>
          </w:p>
        </w:tc>
        <w:tc>
          <w:tcPr>
            <w:tcW w:w="708" w:type="dxa"/>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1" w:hRule="atLeast"/>
        </w:trPr>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安全</w:t>
            </w:r>
            <w:r>
              <w:rPr>
                <w:rFonts w:ascii="宋体" w:hAnsi="宋体" w:cs="宋体"/>
                <w:color w:val="000000"/>
                <w:kern w:val="1"/>
              </w:rPr>
              <w:t>管理</w:t>
            </w:r>
            <w:r>
              <w:rPr>
                <w:rFonts w:hint="eastAsia" w:ascii="宋体" w:hAnsi="宋体" w:cs="宋体"/>
                <w:color w:val="000000"/>
                <w:kern w:val="1"/>
              </w:rPr>
              <w:t>文</w:t>
            </w:r>
            <w:r>
              <w:rPr>
                <w:rFonts w:ascii="宋体" w:hAnsi="宋体" w:cs="宋体"/>
                <w:color w:val="000000"/>
                <w:kern w:val="1"/>
              </w:rPr>
              <w:t>书写作</w:t>
            </w:r>
          </w:p>
        </w:tc>
        <w:tc>
          <w:tcPr>
            <w:tcW w:w="7058" w:type="dxa"/>
            <w:tcBorders>
              <w:bottom w:val="single" w:color="auto" w:sz="8" w:space="0"/>
            </w:tcBorders>
            <w:vAlign w:val="center"/>
          </w:tcPr>
          <w:p>
            <w:pPr>
              <w:ind w:firstLine="420"/>
              <w:rPr>
                <w:rFonts w:ascii="宋体" w:hAnsi="宋体"/>
                <w:color w:val="000000"/>
                <w:sz w:val="21"/>
                <w:szCs w:val="21"/>
              </w:rPr>
            </w:pPr>
            <w:r>
              <w:rPr>
                <w:rFonts w:hint="eastAsia" w:ascii="宋体" w:hAnsi="宋体"/>
                <w:color w:val="000000"/>
                <w:sz w:val="21"/>
                <w:szCs w:val="21"/>
              </w:rPr>
              <w:t>本课程较系统地介绍安全管理中常用文书的写作分类、格式、文种、写作方法和写作注意事项，以及如何运用，并列举了相应的参考实用文例。书中还对如何撰写科技论文和文书写作中常见的差错进行了介绍。</w:t>
            </w:r>
          </w:p>
        </w:tc>
        <w:tc>
          <w:tcPr>
            <w:tcW w:w="457" w:type="dxa"/>
            <w:tcBorders>
              <w:bottom w:val="single" w:color="auto" w:sz="8" w:space="0"/>
            </w:tcBorders>
            <w:vAlign w:val="center"/>
          </w:tcPr>
          <w:p>
            <w:pPr>
              <w:ind w:firstLine="0" w:firstLineChars="0"/>
              <w:rPr>
                <w:rFonts w:ascii="宋体" w:hAnsi="宋体"/>
                <w:color w:val="000000"/>
                <w:kern w:val="1"/>
                <w:sz w:val="21"/>
                <w:szCs w:val="21"/>
              </w:rPr>
            </w:pPr>
            <w:r>
              <w:rPr>
                <w:rFonts w:hint="eastAsia" w:ascii="宋体" w:hAnsi="宋体"/>
                <w:color w:val="000000"/>
                <w:kern w:val="1"/>
                <w:sz w:val="21"/>
                <w:szCs w:val="21"/>
              </w:rPr>
              <w:t>2</w:t>
            </w:r>
          </w:p>
        </w:tc>
        <w:tc>
          <w:tcPr>
            <w:tcW w:w="708" w:type="dxa"/>
            <w:tcBorders>
              <w:bottom w:val="single" w:color="auto" w:sz="8" w:space="0"/>
            </w:tcBorders>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09"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Calibri" w:hAnsi="Calibri"/>
                <w:color w:val="000000"/>
              </w:rPr>
            </w:pPr>
            <w:r>
              <w:rPr>
                <w:rFonts w:hint="eastAsia" w:ascii="Calibri" w:hAnsi="Calibri"/>
                <w:color w:val="000000"/>
              </w:rPr>
              <w:t>信息</w:t>
            </w:r>
            <w:r>
              <w:rPr>
                <w:rFonts w:ascii="Calibri" w:hAnsi="Calibri"/>
                <w:color w:val="000000"/>
              </w:rPr>
              <w:t>管理</w:t>
            </w:r>
            <w:r>
              <w:rPr>
                <w:rFonts w:hint="eastAsia" w:ascii="Calibri" w:hAnsi="Calibri"/>
                <w:color w:val="000000"/>
              </w:rPr>
              <w:t>系统</w:t>
            </w:r>
          </w:p>
        </w:tc>
        <w:tc>
          <w:tcPr>
            <w:tcW w:w="7058" w:type="dxa"/>
            <w:tcBorders>
              <w:top w:val="single" w:color="auto" w:sz="8" w:space="0"/>
              <w:bottom w:val="single" w:color="auto" w:sz="12" w:space="0"/>
            </w:tcBorders>
            <w:vAlign w:val="center"/>
          </w:tcPr>
          <w:p>
            <w:pPr>
              <w:ind w:firstLine="420"/>
              <w:rPr>
                <w:rFonts w:ascii="宋体" w:hAnsi="宋体"/>
                <w:color w:val="000000"/>
                <w:sz w:val="21"/>
                <w:szCs w:val="21"/>
              </w:rPr>
            </w:pPr>
            <w:r>
              <w:rPr>
                <w:rFonts w:hint="eastAsia" w:ascii="宋体" w:hAnsi="宋体"/>
                <w:color w:val="000000"/>
                <w:sz w:val="21"/>
                <w:szCs w:val="21"/>
              </w:rPr>
              <w:t>本课程是安全技术</w:t>
            </w:r>
            <w:r>
              <w:rPr>
                <w:rFonts w:ascii="宋体" w:hAnsi="宋体"/>
                <w:color w:val="000000"/>
                <w:sz w:val="21"/>
                <w:szCs w:val="21"/>
              </w:rPr>
              <w:t>与管理</w:t>
            </w:r>
            <w:r>
              <w:rPr>
                <w:rFonts w:hint="eastAsia" w:ascii="宋体" w:hAnsi="宋体"/>
                <w:color w:val="000000"/>
                <w:sz w:val="21"/>
                <w:szCs w:val="21"/>
              </w:rPr>
              <w:t>专业的一门专业基础课程。该课程的教学目的在于，通过本课程的学习，使学生对管理信息系统的理论和应用有较深刻的了解，掌握管理信息系统的概念和结构，掌握管理信息系统开发的过程和方法，以及运行、维护、管理等环节的知识，初步具备管理信息系统建设、应用和管理的能力。</w:t>
            </w:r>
          </w:p>
        </w:tc>
        <w:tc>
          <w:tcPr>
            <w:tcW w:w="457" w:type="dxa"/>
            <w:tcBorders>
              <w:top w:val="single" w:color="auto" w:sz="8" w:space="0"/>
              <w:bottom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708" w:type="dxa"/>
            <w:tcBorders>
              <w:top w:val="single" w:color="auto" w:sz="8" w:space="0"/>
              <w:bottom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bl>
    <w:p>
      <w:pPr>
        <w:wordWrap w:val="0"/>
        <w:ind w:left="480" w:leftChars="200" w:firstLine="480"/>
        <w:rPr>
          <w:rFonts w:ascii="Calibri" w:hAnsi="Calibri"/>
          <w:color w:val="000000"/>
        </w:rPr>
      </w:pPr>
      <w:r>
        <w:rPr>
          <w:rFonts w:ascii="Calibri" w:hAnsi="Calibri"/>
          <w:color w:val="000000"/>
        </w:rPr>
        <w:drawing>
          <wp:anchor distT="0" distB="0" distL="114300" distR="114300" simplePos="0" relativeHeight="251668480" behindDoc="0" locked="0" layoutInCell="1" allowOverlap="1">
            <wp:simplePos x="0" y="0"/>
            <wp:positionH relativeFrom="margin">
              <wp:align>right</wp:align>
            </wp:positionH>
            <wp:positionV relativeFrom="paragraph">
              <wp:posOffset>-8869045</wp:posOffset>
            </wp:positionV>
            <wp:extent cx="219075" cy="142875"/>
            <wp:effectExtent l="0" t="0" r="9525" b="9525"/>
            <wp:wrapNone/>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19075" cy="142875"/>
                    </a:xfrm>
                    <a:prstGeom prst="rect">
                      <a:avLst/>
                    </a:prstGeom>
                  </pic:spPr>
                </pic:pic>
              </a:graphicData>
            </a:graphic>
          </wp:anchor>
        </w:drawing>
      </w:r>
    </w:p>
    <w:tbl>
      <w:tblPr>
        <w:tblStyle w:val="16"/>
        <w:tblW w:w="9782" w:type="dxa"/>
        <w:tblInd w:w="-28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10"/>
        <w:gridCol w:w="850"/>
        <w:gridCol w:w="7088"/>
        <w:gridCol w:w="425"/>
        <w:gridCol w:w="7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restart"/>
            <w:vAlign w:val="center"/>
          </w:tcPr>
          <w:p>
            <w:pPr>
              <w:ind w:firstLine="0" w:firstLineChars="0"/>
              <w:jc w:val="left"/>
              <w:rPr>
                <w:rFonts w:ascii="宋体" w:hAnsi="宋体"/>
                <w:color w:val="000000"/>
              </w:rPr>
            </w:pPr>
            <w:r>
              <w:rPr>
                <w:rFonts w:hint="eastAsia" w:ascii="宋体" w:hAnsi="宋体"/>
                <w:color w:val="000000"/>
              </w:rPr>
              <w:t>专业课</w:t>
            </w: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特种设备安全</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课程对锅炉、压力容器、压力管道、电梯、起重机械、客运索道、大型游乐设施等特种设备的安全管理及日常维护、质量检验等作了系统阐述。</w:t>
            </w:r>
          </w:p>
        </w:tc>
        <w:tc>
          <w:tcPr>
            <w:tcW w:w="425"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3</w:t>
            </w:r>
          </w:p>
        </w:tc>
        <w:tc>
          <w:tcPr>
            <w:tcW w:w="709" w:type="dxa"/>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宋体" w:hAnsi="宋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事故管理与应急处</w:t>
            </w:r>
          </w:p>
          <w:p>
            <w:pPr>
              <w:spacing w:line="240" w:lineRule="auto"/>
              <w:ind w:firstLine="0" w:firstLineChars="0"/>
              <w:rPr>
                <w:rFonts w:ascii="宋体" w:hAnsi="宋体" w:cs="宋体"/>
                <w:color w:val="000000"/>
                <w:kern w:val="1"/>
              </w:rPr>
            </w:pPr>
            <w:r>
              <w:rPr>
                <w:rFonts w:hint="eastAsia" w:ascii="宋体" w:hAnsi="宋体" w:cs="宋体"/>
                <w:color w:val="000000"/>
                <w:kern w:val="1"/>
              </w:rPr>
              <w:t>置</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w:t>
            </w:r>
            <w:r>
              <w:rPr>
                <w:rFonts w:hint="eastAsia" w:ascii="宋体" w:hAnsi="宋体"/>
                <w:color w:val="000000"/>
                <w:sz w:val="21"/>
                <w:szCs w:val="21"/>
              </w:rPr>
              <w:t>详细地论述安全事故术语或概念、事故管理技术以及事故应急预案等内容。作者依据</w:t>
            </w:r>
            <w:r>
              <w:rPr>
                <w:rFonts w:ascii="宋体" w:hAnsi="宋体"/>
                <w:color w:val="000000"/>
                <w:sz w:val="21"/>
                <w:szCs w:val="21"/>
              </w:rPr>
              <w:t>20多</w:t>
            </w:r>
            <w:r>
              <w:rPr>
                <w:rFonts w:hint="eastAsia" w:ascii="宋体" w:hAnsi="宋体"/>
                <w:color w:val="000000"/>
                <w:sz w:val="21"/>
                <w:szCs w:val="21"/>
              </w:rPr>
              <w:t>年的事故调查与事故处理经验，重点介绍事故管理技术与事故应急救援预案，除在理论上进行阐述外，还通过一些事故实例进行说明与论证。</w:t>
            </w:r>
          </w:p>
        </w:tc>
        <w:tc>
          <w:tcPr>
            <w:tcW w:w="425" w:type="dxa"/>
            <w:vAlign w:val="center"/>
          </w:tcPr>
          <w:p>
            <w:pPr>
              <w:ind w:firstLine="0" w:firstLineChars="0"/>
              <w:rPr>
                <w:rFonts w:ascii="宋体" w:hAnsi="宋体"/>
                <w:color w:val="000000"/>
                <w:kern w:val="1"/>
                <w:sz w:val="21"/>
                <w:szCs w:val="21"/>
              </w:rPr>
            </w:pPr>
            <w:r>
              <w:rPr>
                <w:rFonts w:hint="eastAsia" w:ascii="宋体" w:hAnsi="宋体"/>
                <w:color w:val="000000"/>
                <w:kern w:val="1"/>
                <w:sz w:val="21"/>
                <w:szCs w:val="21"/>
              </w:rPr>
              <w:t>4</w:t>
            </w:r>
          </w:p>
        </w:tc>
        <w:tc>
          <w:tcPr>
            <w:tcW w:w="709" w:type="dxa"/>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宋体" w:hAnsi="宋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工</w:t>
            </w:r>
            <w:r>
              <w:rPr>
                <w:rFonts w:ascii="宋体" w:hAnsi="宋体" w:cs="宋体"/>
                <w:color w:val="000000"/>
                <w:kern w:val="1"/>
              </w:rPr>
              <w:t>程项目管理</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课程的任务是使学生了解并掌握在工程项目管理中，如何进行全方位全过程的科学管理和合理协调，具有从事工程建设的项目管理知识，具有进行工程项目管理的能力，以及具有有关其他工程实践的能力，为学生在毕业后从事有关的工程管理工作奠定坚实的基础。</w:t>
            </w:r>
          </w:p>
        </w:tc>
        <w:tc>
          <w:tcPr>
            <w:tcW w:w="425" w:type="dxa"/>
            <w:vAlign w:val="center"/>
          </w:tcPr>
          <w:p>
            <w:pPr>
              <w:ind w:firstLine="0" w:firstLineChars="0"/>
              <w:rPr>
                <w:rFonts w:ascii="宋体" w:hAnsi="宋体"/>
                <w:color w:val="000000"/>
                <w:kern w:val="1"/>
                <w:sz w:val="21"/>
                <w:szCs w:val="21"/>
              </w:rPr>
            </w:pPr>
            <w:r>
              <w:rPr>
                <w:rFonts w:hint="eastAsia" w:ascii="宋体" w:hAnsi="宋体"/>
                <w:color w:val="000000"/>
                <w:kern w:val="1"/>
                <w:sz w:val="21"/>
                <w:szCs w:val="21"/>
              </w:rPr>
              <w:t>4</w:t>
            </w:r>
          </w:p>
        </w:tc>
        <w:tc>
          <w:tcPr>
            <w:tcW w:w="709" w:type="dxa"/>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40" w:hRule="atLeast"/>
        </w:trPr>
        <w:tc>
          <w:tcPr>
            <w:tcW w:w="710" w:type="dxa"/>
            <w:vMerge w:val="continue"/>
            <w:vAlign w:val="center"/>
          </w:tcPr>
          <w:p>
            <w:pPr>
              <w:spacing w:line="280" w:lineRule="exact"/>
              <w:ind w:firstLine="0" w:firstLineChars="0"/>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ascii="宋体" w:hAnsi="宋体" w:cs="宋体"/>
                <w:color w:val="000000"/>
                <w:kern w:val="1"/>
              </w:rPr>
              <w:t>电气安全</w:t>
            </w:r>
            <w:r>
              <w:rPr>
                <w:rFonts w:hint="eastAsia" w:ascii="宋体" w:hAnsi="宋体" w:cs="宋体"/>
                <w:color w:val="000000"/>
                <w:kern w:val="1"/>
              </w:rPr>
              <w:t>技术</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课程基本内容包括两个方面</w:t>
            </w:r>
            <w:r>
              <w:rPr>
                <w:rFonts w:hint="eastAsia" w:ascii="宋体" w:hAnsi="宋体"/>
                <w:color w:val="000000"/>
                <w:sz w:val="21"/>
                <w:szCs w:val="21"/>
              </w:rPr>
              <w:t>：</w:t>
            </w:r>
            <w:r>
              <w:rPr>
                <w:rFonts w:ascii="宋体" w:hAnsi="宋体"/>
                <w:color w:val="000000"/>
                <w:sz w:val="21"/>
                <w:szCs w:val="21"/>
              </w:rPr>
              <w:t>一方面是研究各种电气事故，研究其的机理、原因、构成、特点、规律和防护措施，电气事故不仅仅是触电事故，雷击、静电危害、电磁场伤害、电气火灾爆炸以及其他危机人身安全的线路故障和设备故障也属于电气事故</w:t>
            </w:r>
            <w:r>
              <w:rPr>
                <w:rFonts w:hint="eastAsia" w:ascii="宋体" w:hAnsi="宋体"/>
                <w:color w:val="000000"/>
                <w:sz w:val="21"/>
                <w:szCs w:val="21"/>
              </w:rPr>
              <w:t>；</w:t>
            </w:r>
            <w:r>
              <w:rPr>
                <w:rFonts w:ascii="宋体" w:hAnsi="宋体"/>
                <w:color w:val="000000"/>
                <w:sz w:val="21"/>
                <w:szCs w:val="21"/>
              </w:rPr>
              <w:t>另一方面是研究用电气的方法解决各种安全问题，即研究运用电气监测、电气检查和电气控制的方法来评价系统的安全性或获得必要的安全条件。电气安全具有抽象性、广泛性、综合性的特点。</w:t>
            </w:r>
          </w:p>
        </w:tc>
        <w:tc>
          <w:tcPr>
            <w:tcW w:w="425"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3</w:t>
            </w:r>
          </w:p>
        </w:tc>
        <w:tc>
          <w:tcPr>
            <w:tcW w:w="709" w:type="dxa"/>
            <w:vAlign w:val="center"/>
          </w:tcPr>
          <w:p>
            <w:pPr>
              <w:ind w:firstLine="0" w:firstLineChars="0"/>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职业卫生</w:t>
            </w:r>
            <w:r>
              <w:rPr>
                <w:rFonts w:ascii="宋体" w:hAnsi="宋体" w:cs="宋体"/>
                <w:color w:val="000000"/>
                <w:kern w:val="1"/>
              </w:rPr>
              <w:t>基础</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主要从与职业卫生密切相关的医学基础知识点进行普及性教育，以弥补工科院校学生基础医学知识薄弱的不足。此外，针对安全工作者和科研人员侧重职业性有害因素识别、评价与控制的职业特点，在讲述职业性有害因素的辨识时，弱化了职业危害发生机制、临床表现以及诊断和治疗的内容。</w:t>
            </w:r>
          </w:p>
        </w:tc>
        <w:tc>
          <w:tcPr>
            <w:tcW w:w="425"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709"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left"/>
              <w:rPr>
                <w:rFonts w:ascii="宋体" w:hAnsi="宋体" w:cs="宋体"/>
                <w:color w:val="000000"/>
                <w:kern w:val="1"/>
              </w:rPr>
            </w:pPr>
            <w:r>
              <w:rPr>
                <w:rFonts w:hint="eastAsia" w:ascii="宋体" w:hAnsi="宋体" w:cs="宋体"/>
                <w:color w:val="000000"/>
                <w:kern w:val="1"/>
              </w:rPr>
              <w:t>安全</w:t>
            </w:r>
            <w:r>
              <w:rPr>
                <w:rFonts w:ascii="宋体" w:hAnsi="宋体" w:cs="宋体"/>
                <w:color w:val="000000"/>
                <w:kern w:val="1"/>
              </w:rPr>
              <w:t>评价</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阐述安全评价的基础理论及其应用。主要内容包括：安全评价概述，安全评价的依据，危险辨识与单元划分，常用定性安全评价方法，危险指数评价法，概率风险评价法，安全评价报告编制，安全评价过程控制，各类安全评价实战技术。</w:t>
            </w:r>
          </w:p>
        </w:tc>
        <w:tc>
          <w:tcPr>
            <w:tcW w:w="425"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709"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left"/>
              <w:rPr>
                <w:rFonts w:ascii="宋体" w:hAnsi="宋体" w:cs="宋体"/>
                <w:color w:val="000000"/>
                <w:kern w:val="1"/>
              </w:rPr>
            </w:pPr>
            <w:r>
              <w:rPr>
                <w:rFonts w:ascii="宋体" w:hAnsi="宋体" w:cs="宋体"/>
                <w:color w:val="000000"/>
                <w:kern w:val="1"/>
              </w:rPr>
              <w:t>防火防爆</w:t>
            </w:r>
            <w:r>
              <w:rPr>
                <w:rFonts w:hint="eastAsia" w:ascii="宋体" w:hAnsi="宋体" w:cs="宋体"/>
                <w:color w:val="000000"/>
                <w:kern w:val="1"/>
              </w:rPr>
              <w:t>技术</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课程从火灾的燃烧学机理出发，讨论火灾发生、发展和烟气蔓延的规律</w:t>
            </w:r>
            <w:r>
              <w:rPr>
                <w:rFonts w:hint="eastAsia" w:ascii="宋体" w:hAnsi="宋体"/>
                <w:color w:val="000000"/>
                <w:sz w:val="21"/>
                <w:szCs w:val="21"/>
              </w:rPr>
              <w:t>，</w:t>
            </w:r>
            <w:r>
              <w:rPr>
                <w:rFonts w:ascii="宋体" w:hAnsi="宋体"/>
                <w:color w:val="000000"/>
                <w:sz w:val="21"/>
                <w:szCs w:val="21"/>
              </w:rPr>
              <w:t>分析爆炸的基本理论和实质。重点介绍工业企业生产过程和建筑工程中火灾与爆炸事故的预防及控制措施，包括建筑物防火以及防排烟设计方法和技术措施、耐火设计、消防规划和消防布局等防火方法与技术，火灾探测报警和自动灭火方法与技术及工业建筑防爆泄压设备设施等防爆技术措施。结合火灾爆炸事故案例和消防工程实例，介绍隧道等特殊建筑工程、乙炔站、煤气储配站等典型危险作业场所和冶金、矿山等工业企业的防火与防爆技术措施。</w:t>
            </w:r>
          </w:p>
        </w:tc>
        <w:tc>
          <w:tcPr>
            <w:tcW w:w="425" w:type="dxa"/>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4</w:t>
            </w:r>
          </w:p>
        </w:tc>
        <w:tc>
          <w:tcPr>
            <w:tcW w:w="709"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left"/>
              <w:rPr>
                <w:rFonts w:ascii="宋体" w:hAnsi="宋体" w:cs="宋体"/>
                <w:color w:val="000000"/>
                <w:kern w:val="1"/>
              </w:rPr>
            </w:pPr>
            <w:r>
              <w:rPr>
                <w:rFonts w:hint="eastAsia" w:ascii="宋体" w:hAnsi="宋体" w:cs="宋体"/>
                <w:color w:val="000000"/>
                <w:kern w:val="1"/>
              </w:rPr>
              <w:t>安全</w:t>
            </w:r>
            <w:r>
              <w:rPr>
                <w:rFonts w:ascii="宋体" w:hAnsi="宋体" w:cs="宋体"/>
                <w:color w:val="000000"/>
                <w:kern w:val="1"/>
              </w:rPr>
              <w:t>监测与监控</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从预防职业危害和预防生产安全事故工作的实际需要，较系统地阐述了安全检测与监控的内容。着重介绍工业生产过程参数检测与监控、有毒有害和易燃易爆气体检测与监控、作业场所空气中粉尘的检测、工业噪声检测、无损检测技术、火灾信息检测与监控、防雷防静电检测及物质放射性检测与监控等内容。</w:t>
            </w:r>
          </w:p>
        </w:tc>
        <w:tc>
          <w:tcPr>
            <w:tcW w:w="425" w:type="dxa"/>
            <w:vAlign w:val="center"/>
          </w:tcPr>
          <w:p>
            <w:pPr>
              <w:ind w:firstLine="0" w:firstLineChars="0"/>
              <w:rPr>
                <w:rFonts w:ascii="宋体" w:hAnsi="宋体"/>
                <w:color w:val="000000"/>
                <w:kern w:val="1"/>
                <w:sz w:val="21"/>
                <w:szCs w:val="21"/>
              </w:rPr>
            </w:pPr>
            <w:r>
              <w:rPr>
                <w:rFonts w:ascii="宋体" w:hAnsi="宋体"/>
                <w:color w:val="000000"/>
                <w:kern w:val="1"/>
                <w:sz w:val="21"/>
                <w:szCs w:val="21"/>
              </w:rPr>
              <w:t>4</w:t>
            </w:r>
          </w:p>
        </w:tc>
        <w:tc>
          <w:tcPr>
            <w:tcW w:w="709" w:type="dxa"/>
            <w:vAlign w:val="center"/>
          </w:tcPr>
          <w:p>
            <w:pPr>
              <w:snapToGrid w:val="0"/>
              <w:ind w:firstLine="0" w:firstLineChars="0"/>
              <w:rPr>
                <w:rFonts w:ascii="宋体" w:hAnsi="宋体"/>
                <w:color w:val="000000"/>
                <w:sz w:val="21"/>
                <w:szCs w:val="21"/>
              </w:rPr>
            </w:pPr>
            <w:r>
              <w:rPr>
                <w:rFonts w:hint="eastAsia" w:ascii="宋体" w:hAnsi="宋体"/>
                <w:color w:val="000000"/>
                <w:sz w:val="21"/>
                <w:szCs w:val="21"/>
              </w:rPr>
              <w:t>72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left"/>
              <w:rPr>
                <w:rFonts w:ascii="宋体" w:hAnsi="宋体" w:cs="宋体"/>
                <w:color w:val="000000"/>
                <w:kern w:val="1"/>
              </w:rPr>
            </w:pPr>
            <w:r>
              <w:rPr>
                <w:rFonts w:hint="eastAsia" w:ascii="宋体" w:hAnsi="宋体" w:cs="宋体"/>
                <w:color w:val="000000"/>
                <w:kern w:val="1"/>
              </w:rPr>
              <w:t>安全</w:t>
            </w:r>
            <w:r>
              <w:rPr>
                <w:rFonts w:ascii="宋体" w:hAnsi="宋体" w:cs="宋体"/>
                <w:color w:val="000000"/>
                <w:kern w:val="1"/>
              </w:rPr>
              <w:t>法规</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主要介绍安全生产法规体系、安全生产领域主要犯罪行为及其认定、主要危险物品与事故隐患监督管理、生产安全事故的报告和调查处理、安全生产资金管理与工伤保险、安全生产行政执法以及国务院关于预防煤矿生产安全事故的特别规定等内容。</w:t>
            </w:r>
          </w:p>
        </w:tc>
        <w:tc>
          <w:tcPr>
            <w:tcW w:w="425"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709"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710" w:type="dxa"/>
            <w:vMerge w:val="continue"/>
            <w:vAlign w:val="center"/>
          </w:tcPr>
          <w:p>
            <w:pPr>
              <w:spacing w:line="280" w:lineRule="exact"/>
              <w:ind w:firstLine="0" w:firstLineChars="0"/>
              <w:jc w:val="left"/>
              <w:rPr>
                <w:rFonts w:ascii="方正书宋简体" w:hAnsi="Calibri" w:eastAsia="方正书宋简体"/>
                <w:color w:val="000000"/>
              </w:rPr>
            </w:pPr>
          </w:p>
        </w:tc>
        <w:tc>
          <w:tcPr>
            <w:tcW w:w="850" w:type="dxa"/>
            <w:vAlign w:val="center"/>
          </w:tcPr>
          <w:p>
            <w:pPr>
              <w:spacing w:line="240" w:lineRule="auto"/>
              <w:ind w:firstLine="0" w:firstLineChars="0"/>
              <w:jc w:val="center"/>
              <w:rPr>
                <w:rFonts w:ascii="宋体" w:hAnsi="宋体" w:cs="宋体"/>
                <w:color w:val="000000"/>
                <w:kern w:val="1"/>
              </w:rPr>
            </w:pPr>
            <w:r>
              <w:rPr>
                <w:rFonts w:hint="eastAsia" w:ascii="宋体" w:hAnsi="宋体" w:cs="宋体"/>
                <w:color w:val="000000"/>
                <w:kern w:val="1"/>
              </w:rPr>
              <w:t>高危行</w:t>
            </w:r>
            <w:r>
              <w:rPr>
                <w:rFonts w:ascii="宋体" w:hAnsi="宋体" w:cs="宋体"/>
                <w:color w:val="000000"/>
                <w:kern w:val="1"/>
              </w:rPr>
              <w:t>业安全</w:t>
            </w:r>
          </w:p>
        </w:tc>
        <w:tc>
          <w:tcPr>
            <w:tcW w:w="7088" w:type="dxa"/>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课程主要介绍</w:t>
            </w:r>
            <w:r>
              <w:rPr>
                <w:rFonts w:hint="eastAsia" w:ascii="宋体" w:hAnsi="宋体"/>
                <w:color w:val="000000"/>
                <w:sz w:val="21"/>
                <w:szCs w:val="21"/>
              </w:rPr>
              <w:t>高危行业的生产必须安全第一，安全为了生产，生产必须安全，通过科学安全生产管理以及加强安全设施建设，减少事故发生，促进生产安全运行，保障社会稳定和谐。</w:t>
            </w:r>
          </w:p>
        </w:tc>
        <w:tc>
          <w:tcPr>
            <w:tcW w:w="425" w:type="dxa"/>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709" w:type="dxa"/>
            <w:vAlign w:val="center"/>
          </w:tcPr>
          <w:p>
            <w:pPr>
              <w:ind w:firstLine="0" w:firstLineChars="0"/>
              <w:jc w:val="center"/>
              <w:rPr>
                <w:rFonts w:ascii="宋体" w:hAnsi="宋体"/>
                <w:color w:val="000000"/>
                <w:sz w:val="21"/>
                <w:szCs w:val="21"/>
              </w:rPr>
            </w:pPr>
            <w:r>
              <w:rPr>
                <w:rFonts w:ascii="宋体" w:hAnsi="宋体"/>
                <w:color w:val="000000"/>
                <w:sz w:val="21"/>
                <w:szCs w:val="21"/>
              </w:rPr>
              <w:t>36</w:t>
            </w:r>
          </w:p>
        </w:tc>
      </w:tr>
    </w:tbl>
    <w:p>
      <w:pPr>
        <w:ind w:firstLine="0" w:firstLineChars="0"/>
        <w:jc w:val="left"/>
        <w:rPr>
          <w:color w:val="000000"/>
        </w:rPr>
      </w:pPr>
      <w:r>
        <w:rPr>
          <w:color w:val="000000"/>
        </w:rPr>
        <w:drawing>
          <wp:anchor distT="0" distB="0" distL="114300" distR="114300" simplePos="0" relativeHeight="251669504" behindDoc="0" locked="0" layoutInCell="1" allowOverlap="1">
            <wp:simplePos x="0" y="0"/>
            <wp:positionH relativeFrom="margin">
              <wp:align>right</wp:align>
            </wp:positionH>
            <wp:positionV relativeFrom="paragraph">
              <wp:posOffset>-6722110</wp:posOffset>
            </wp:positionV>
            <wp:extent cx="238125" cy="142875"/>
            <wp:effectExtent l="0" t="0" r="9525" b="9525"/>
            <wp:wrapNone/>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38125" cy="142875"/>
                    </a:xfrm>
                    <a:prstGeom prst="rect">
                      <a:avLst/>
                    </a:prstGeom>
                  </pic:spPr>
                </pic:pic>
              </a:graphicData>
            </a:graphic>
          </wp:anchor>
        </w:drawing>
      </w:r>
    </w:p>
    <w:tbl>
      <w:tblPr>
        <w:tblStyle w:val="16"/>
        <w:tblW w:w="9782" w:type="dxa"/>
        <w:tblInd w:w="-284"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50"/>
        <w:gridCol w:w="7106"/>
        <w:gridCol w:w="419"/>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restart"/>
            <w:tcBorders>
              <w:top w:val="single" w:color="auto" w:sz="12" w:space="0"/>
              <w:left w:val="single" w:color="auto" w:sz="12" w:space="0"/>
              <w:bottom w:val="single" w:color="auto" w:sz="12" w:space="0"/>
              <w:right w:val="single" w:color="auto" w:sz="4" w:space="0"/>
            </w:tcBorders>
            <w:vAlign w:val="center"/>
          </w:tcPr>
          <w:p>
            <w:pPr>
              <w:ind w:firstLine="0" w:firstLineChars="0"/>
              <w:jc w:val="left"/>
              <w:rPr>
                <w:rFonts w:ascii="宋体" w:hAnsi="宋体"/>
                <w:color w:val="000000"/>
              </w:rPr>
            </w:pPr>
            <w:r>
              <w:rPr>
                <w:rFonts w:hint="eastAsia" w:ascii="宋体" w:hAnsi="宋体"/>
                <w:color w:val="000000"/>
              </w:rPr>
              <w:t>综合</w:t>
            </w:r>
            <w:r>
              <w:rPr>
                <w:rFonts w:ascii="宋体" w:hAnsi="宋体"/>
                <w:color w:val="000000"/>
              </w:rPr>
              <w:t>实践</w:t>
            </w:r>
          </w:p>
        </w:tc>
        <w:tc>
          <w:tcPr>
            <w:tcW w:w="850" w:type="dxa"/>
            <w:tcBorders>
              <w:top w:val="single" w:color="auto" w:sz="12" w:space="0"/>
              <w:left w:val="single" w:color="auto" w:sz="4" w:space="0"/>
              <w:bottom w:val="single" w:color="auto" w:sz="12" w:space="0"/>
            </w:tcBorders>
            <w:vAlign w:val="center"/>
          </w:tcPr>
          <w:p>
            <w:pPr>
              <w:spacing w:line="240" w:lineRule="auto"/>
              <w:ind w:firstLine="0" w:firstLineChars="0"/>
              <w:jc w:val="left"/>
              <w:rPr>
                <w:rFonts w:ascii="宋体" w:hAnsi="宋体" w:cs="宋体"/>
                <w:color w:val="000000"/>
                <w:kern w:val="1"/>
              </w:rPr>
            </w:pPr>
            <w:r>
              <w:rPr>
                <w:rFonts w:hint="eastAsia" w:ascii="宋体" w:hAnsi="宋体" w:cs="宋体"/>
                <w:color w:val="000000"/>
                <w:kern w:val="1"/>
              </w:rPr>
              <w:t>毕业</w:t>
            </w:r>
            <w:r>
              <w:rPr>
                <w:rFonts w:ascii="宋体" w:hAnsi="宋体" w:cs="宋体"/>
                <w:color w:val="000000"/>
                <w:kern w:val="1"/>
              </w:rPr>
              <w:t>实践</w:t>
            </w:r>
          </w:p>
        </w:tc>
        <w:tc>
          <w:tcPr>
            <w:tcW w:w="7106" w:type="dxa"/>
            <w:tcBorders>
              <w:top w:val="single" w:color="auto" w:sz="12" w:space="0"/>
              <w:bottom w:val="single" w:color="auto" w:sz="12" w:space="0"/>
            </w:tcBorders>
            <w:vAlign w:val="center"/>
          </w:tcPr>
          <w:p>
            <w:pPr>
              <w:ind w:firstLine="420"/>
              <w:rPr>
                <w:rFonts w:ascii="宋体" w:hAnsi="宋体"/>
                <w:color w:val="000000"/>
                <w:sz w:val="21"/>
                <w:szCs w:val="21"/>
              </w:rPr>
            </w:pPr>
            <w:r>
              <w:rPr>
                <w:rFonts w:hint="eastAsia" w:ascii="宋体" w:hAnsi="宋体"/>
                <w:color w:val="000000"/>
                <w:sz w:val="21"/>
                <w:szCs w:val="21"/>
              </w:rPr>
              <w:t>本课程通过毕业实践，使学生进一步巩固和加深理解所学的专业理论知识，开阔视野、扩大学生的知识面，并使学生具有综合运用所学的专业知识，独立完成职业岗位工作及解决工程实际问题的能力，为毕业后提升职业岗位能力创造条件。</w:t>
            </w:r>
          </w:p>
        </w:tc>
        <w:tc>
          <w:tcPr>
            <w:tcW w:w="419" w:type="dxa"/>
            <w:tcBorders>
              <w:top w:val="single" w:color="auto" w:sz="12" w:space="0"/>
              <w:bottom w:val="single" w:color="auto" w:sz="12" w:space="0"/>
            </w:tcBorders>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8</w:t>
            </w:r>
          </w:p>
        </w:tc>
        <w:tc>
          <w:tcPr>
            <w:tcW w:w="697" w:type="dxa"/>
            <w:tcBorders>
              <w:top w:val="single" w:color="auto" w:sz="12" w:space="0"/>
              <w:bottom w:val="single" w:color="auto" w:sz="12" w:space="0"/>
              <w:right w:val="single" w:color="auto" w:sz="12" w:space="0"/>
            </w:tcBorders>
            <w:vAlign w:val="center"/>
          </w:tcPr>
          <w:p>
            <w:pPr>
              <w:ind w:firstLine="0" w:firstLineChars="0"/>
              <w:jc w:val="center"/>
              <w:rPr>
                <w:rFonts w:ascii="宋体" w:hAnsi="宋体"/>
                <w:color w:val="000000"/>
                <w:sz w:val="21"/>
                <w:szCs w:val="21"/>
              </w:rPr>
            </w:pPr>
            <w:r>
              <w:rPr>
                <w:rFonts w:ascii="宋体" w:hAnsi="宋体"/>
                <w:color w:val="000000"/>
                <w:sz w:val="21"/>
                <w:szCs w:val="21"/>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top w:val="single" w:color="auto" w:sz="12" w:space="0"/>
              <w:left w:val="single" w:color="auto" w:sz="12" w:space="0"/>
              <w:bottom w:val="single" w:color="auto" w:sz="12" w:space="0"/>
              <w:right w:val="single" w:color="auto" w:sz="4" w:space="0"/>
            </w:tcBorders>
            <w:vAlign w:val="center"/>
          </w:tcPr>
          <w:p>
            <w:pPr>
              <w:spacing w:line="280" w:lineRule="exact"/>
              <w:ind w:firstLine="0" w:firstLineChars="0"/>
              <w:jc w:val="left"/>
              <w:rPr>
                <w:rFonts w:ascii="宋体" w:hAnsi="宋体" w:cs="宋体"/>
                <w:color w:val="000000"/>
                <w:kern w:val="1"/>
              </w:rPr>
            </w:pPr>
          </w:p>
        </w:tc>
        <w:tc>
          <w:tcPr>
            <w:tcW w:w="850" w:type="dxa"/>
            <w:tcBorders>
              <w:top w:val="single" w:color="auto" w:sz="12" w:space="0"/>
              <w:left w:val="single" w:color="auto" w:sz="4" w:space="0"/>
              <w:bottom w:val="single" w:color="auto" w:sz="8" w:space="0"/>
            </w:tcBorders>
            <w:vAlign w:val="center"/>
          </w:tcPr>
          <w:p>
            <w:pPr>
              <w:spacing w:line="240" w:lineRule="auto"/>
              <w:ind w:firstLine="0" w:firstLineChars="0"/>
              <w:jc w:val="left"/>
              <w:rPr>
                <w:rFonts w:ascii="宋体" w:hAnsi="宋体" w:cs="宋体"/>
                <w:color w:val="000000"/>
                <w:kern w:val="1"/>
              </w:rPr>
            </w:pPr>
            <w:r>
              <w:rPr>
                <w:rFonts w:hint="eastAsia" w:ascii="Calibri" w:hAnsi="Calibri"/>
                <w:color w:val="000000"/>
              </w:rPr>
              <w:t>工业通风除尘课程设计</w:t>
            </w:r>
          </w:p>
        </w:tc>
        <w:tc>
          <w:tcPr>
            <w:tcW w:w="7106" w:type="dxa"/>
            <w:tcBorders>
              <w:top w:val="single" w:color="auto" w:sz="12" w:space="0"/>
              <w:bottom w:val="single" w:color="auto" w:sz="8" w:space="0"/>
            </w:tcBorders>
            <w:vAlign w:val="center"/>
          </w:tcPr>
          <w:p>
            <w:pPr>
              <w:ind w:firstLine="420"/>
              <w:rPr>
                <w:rFonts w:ascii="宋体" w:hAnsi="宋体"/>
                <w:color w:val="000000"/>
                <w:sz w:val="21"/>
                <w:szCs w:val="21"/>
              </w:rPr>
            </w:pPr>
            <w:r>
              <w:rPr>
                <w:rFonts w:hint="eastAsia" w:ascii="宋体" w:hAnsi="宋体"/>
                <w:color w:val="000000"/>
                <w:sz w:val="21"/>
                <w:szCs w:val="21"/>
              </w:rPr>
              <w:t>本课程的设计目的主要是为了让</w:t>
            </w:r>
            <w:r>
              <w:rPr>
                <w:rFonts w:ascii="宋体" w:hAnsi="宋体"/>
                <w:color w:val="000000"/>
                <w:sz w:val="21"/>
                <w:szCs w:val="21"/>
              </w:rPr>
              <w:t>学生</w:t>
            </w:r>
            <w:r>
              <w:rPr>
                <w:rFonts w:hint="eastAsia" w:ascii="宋体" w:hAnsi="宋体"/>
                <w:color w:val="000000"/>
                <w:sz w:val="21"/>
                <w:szCs w:val="21"/>
              </w:rPr>
              <w:t>掌握管道摩擦阻力、局部阻力计算，管道压力分布分析计算、管道尺寸计算的约束条件、设计计算方法、均匀送风管道的计算，要求学生认真、细致、熟练掌握通风除尘系统的设计计算方法。</w:t>
            </w:r>
          </w:p>
        </w:tc>
        <w:tc>
          <w:tcPr>
            <w:tcW w:w="419" w:type="dxa"/>
            <w:tcBorders>
              <w:top w:val="single" w:color="auto" w:sz="12" w:space="0"/>
              <w:bottom w:val="single" w:color="auto" w:sz="8" w:space="0"/>
            </w:tcBorders>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3</w:t>
            </w:r>
          </w:p>
        </w:tc>
        <w:tc>
          <w:tcPr>
            <w:tcW w:w="697" w:type="dxa"/>
            <w:tcBorders>
              <w:top w:val="single" w:color="auto" w:sz="12" w:space="0"/>
              <w:bottom w:val="single" w:color="auto" w:sz="8" w:space="0"/>
              <w:right w:val="single" w:color="auto" w:sz="12"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top w:val="single" w:color="auto" w:sz="12" w:space="0"/>
              <w:left w:val="single" w:color="auto" w:sz="12" w:space="0"/>
              <w:bottom w:val="single" w:color="auto" w:sz="12" w:space="0"/>
              <w:right w:val="single" w:color="auto" w:sz="4" w:space="0"/>
            </w:tcBorders>
            <w:vAlign w:val="center"/>
          </w:tcPr>
          <w:p>
            <w:pPr>
              <w:spacing w:line="280" w:lineRule="exact"/>
              <w:ind w:firstLine="0" w:firstLineChars="0"/>
              <w:jc w:val="left"/>
              <w:rPr>
                <w:rFonts w:ascii="宋体" w:hAnsi="宋体" w:cs="宋体"/>
                <w:color w:val="000000"/>
                <w:kern w:val="1"/>
              </w:rPr>
            </w:pPr>
          </w:p>
        </w:tc>
        <w:tc>
          <w:tcPr>
            <w:tcW w:w="850" w:type="dxa"/>
            <w:tcBorders>
              <w:top w:val="single" w:color="auto" w:sz="8" w:space="0"/>
              <w:left w:val="single" w:color="auto" w:sz="4" w:space="0"/>
              <w:bottom w:val="single" w:color="auto" w:sz="4" w:space="0"/>
            </w:tcBorders>
            <w:vAlign w:val="center"/>
          </w:tcPr>
          <w:p>
            <w:pPr>
              <w:spacing w:line="240" w:lineRule="auto"/>
              <w:ind w:firstLine="0" w:firstLineChars="0"/>
              <w:jc w:val="left"/>
              <w:rPr>
                <w:rFonts w:ascii="Calibri" w:hAnsi="Calibri"/>
                <w:color w:val="000000"/>
              </w:rPr>
            </w:pPr>
            <w:r>
              <w:rPr>
                <w:rFonts w:hint="eastAsia" w:ascii="Calibri" w:hAnsi="Calibri"/>
                <w:color w:val="000000"/>
              </w:rPr>
              <w:t>防火防爆课程设计</w:t>
            </w:r>
          </w:p>
        </w:tc>
        <w:tc>
          <w:tcPr>
            <w:tcW w:w="7106" w:type="dxa"/>
            <w:tcBorders>
              <w:top w:val="single" w:color="auto" w:sz="8" w:space="0"/>
              <w:bottom w:val="single" w:color="auto" w:sz="4" w:space="0"/>
            </w:tcBorders>
            <w:vAlign w:val="center"/>
          </w:tcPr>
          <w:p>
            <w:pPr>
              <w:ind w:firstLine="420"/>
              <w:rPr>
                <w:rFonts w:ascii="宋体" w:hAnsi="宋体"/>
                <w:color w:val="000000"/>
                <w:sz w:val="21"/>
                <w:szCs w:val="21"/>
              </w:rPr>
            </w:pPr>
            <w:r>
              <w:rPr>
                <w:rFonts w:hint="eastAsia" w:ascii="宋体" w:hAnsi="宋体"/>
                <w:color w:val="000000"/>
                <w:sz w:val="21"/>
                <w:szCs w:val="21"/>
              </w:rPr>
              <w:t>本课程设计要求学生运用已学过的各种火灾探测器、控制器的知识，完成火灾消防监控系统中监测系统、灭火系统、消防电话系统、消防广播系统等各分系统的设计，以便进一步理解火灾探测与控制的基本原理，了解火灾监测监控系统设计的步骤和方法，培养学生初步设计小型火灾监测监控系统方案的能力。</w:t>
            </w:r>
          </w:p>
        </w:tc>
        <w:tc>
          <w:tcPr>
            <w:tcW w:w="419" w:type="dxa"/>
            <w:tcBorders>
              <w:top w:val="single" w:color="auto" w:sz="8" w:space="0"/>
              <w:bottom w:val="single" w:color="auto" w:sz="4" w:space="0"/>
            </w:tcBorders>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3</w:t>
            </w:r>
          </w:p>
        </w:tc>
        <w:tc>
          <w:tcPr>
            <w:tcW w:w="697" w:type="dxa"/>
            <w:tcBorders>
              <w:top w:val="single" w:color="auto" w:sz="8" w:space="0"/>
              <w:bottom w:val="single" w:color="auto" w:sz="4" w:space="0"/>
              <w:right w:val="single" w:color="auto" w:sz="12"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Pr>
        <w:tc>
          <w:tcPr>
            <w:tcW w:w="710" w:type="dxa"/>
            <w:vMerge w:val="continue"/>
            <w:tcBorders>
              <w:top w:val="single" w:color="auto" w:sz="12" w:space="0"/>
              <w:left w:val="single" w:color="auto" w:sz="12" w:space="0"/>
              <w:bottom w:val="single" w:color="auto" w:sz="12" w:space="0"/>
              <w:right w:val="single" w:color="auto" w:sz="4" w:space="0"/>
            </w:tcBorders>
            <w:vAlign w:val="center"/>
          </w:tcPr>
          <w:p>
            <w:pPr>
              <w:spacing w:line="280" w:lineRule="exact"/>
              <w:ind w:firstLine="0" w:firstLineChars="0"/>
              <w:jc w:val="left"/>
              <w:rPr>
                <w:rFonts w:ascii="宋体" w:hAnsi="宋体" w:cs="宋体"/>
                <w:color w:val="000000"/>
                <w:kern w:val="1"/>
              </w:rPr>
            </w:pPr>
          </w:p>
        </w:tc>
        <w:tc>
          <w:tcPr>
            <w:tcW w:w="850" w:type="dxa"/>
            <w:tcBorders>
              <w:top w:val="single" w:color="auto" w:sz="4" w:space="0"/>
              <w:left w:val="single" w:color="auto" w:sz="4" w:space="0"/>
              <w:bottom w:val="single" w:color="auto" w:sz="8" w:space="0"/>
              <w:right w:val="single" w:color="auto" w:sz="4" w:space="0"/>
            </w:tcBorders>
            <w:vAlign w:val="center"/>
          </w:tcPr>
          <w:p>
            <w:pPr>
              <w:spacing w:line="240" w:lineRule="auto"/>
              <w:ind w:firstLine="0" w:firstLineChars="0"/>
              <w:jc w:val="center"/>
              <w:rPr>
                <w:rFonts w:ascii="宋体" w:hAnsi="宋体" w:cs="宋体"/>
                <w:color w:val="000000"/>
                <w:kern w:val="1"/>
              </w:rPr>
            </w:pPr>
            <w:r>
              <w:rPr>
                <w:rFonts w:hint="eastAsia" w:ascii="Calibri" w:hAnsi="Calibri"/>
                <w:color w:val="000000"/>
              </w:rPr>
              <w:t>安全评价</w:t>
            </w:r>
            <w:r>
              <w:rPr>
                <w:rFonts w:ascii="Calibri" w:hAnsi="Calibri"/>
                <w:color w:val="000000"/>
              </w:rPr>
              <w:t>课程设计</w:t>
            </w:r>
          </w:p>
        </w:tc>
        <w:tc>
          <w:tcPr>
            <w:tcW w:w="7106" w:type="dxa"/>
            <w:tcBorders>
              <w:top w:val="single" w:color="auto" w:sz="4" w:space="0"/>
              <w:left w:val="single" w:color="auto" w:sz="4" w:space="0"/>
              <w:bottom w:val="single" w:color="auto" w:sz="8" w:space="0"/>
              <w:right w:val="single" w:color="auto" w:sz="4" w:space="0"/>
            </w:tcBorders>
            <w:vAlign w:val="center"/>
          </w:tcPr>
          <w:p>
            <w:pPr>
              <w:ind w:firstLine="420"/>
              <w:rPr>
                <w:rFonts w:ascii="宋体" w:hAnsi="宋体"/>
                <w:color w:val="000000"/>
                <w:sz w:val="21"/>
                <w:szCs w:val="21"/>
              </w:rPr>
            </w:pPr>
            <w:r>
              <w:rPr>
                <w:rFonts w:hint="eastAsia" w:ascii="宋体" w:hAnsi="宋体"/>
                <w:color w:val="000000"/>
                <w:sz w:val="21"/>
                <w:szCs w:val="21"/>
              </w:rPr>
              <w:t>本课程要求学生对所设计的内容必须概念准确，参数选择合理，符合设计手册与设计规范及相关参考书籍的要求，计算正确，计算书书写工整、清晰，文笔流畅。设计合理，文字线条优美，图表清晰，符合规范，</w:t>
            </w:r>
            <w:r>
              <w:rPr>
                <w:rFonts w:ascii="宋体" w:hAnsi="宋体"/>
                <w:color w:val="000000"/>
                <w:sz w:val="21"/>
                <w:szCs w:val="21"/>
              </w:rPr>
              <w:t>独立完成。</w:t>
            </w:r>
          </w:p>
        </w:tc>
        <w:tc>
          <w:tcPr>
            <w:tcW w:w="419" w:type="dxa"/>
            <w:tcBorders>
              <w:top w:val="single" w:color="auto" w:sz="4" w:space="0"/>
              <w:left w:val="single" w:color="auto" w:sz="4" w:space="0"/>
              <w:bottom w:val="single" w:color="auto" w:sz="8" w:space="0"/>
            </w:tcBorders>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3</w:t>
            </w:r>
          </w:p>
        </w:tc>
        <w:tc>
          <w:tcPr>
            <w:tcW w:w="697" w:type="dxa"/>
            <w:tcBorders>
              <w:top w:val="single" w:color="auto" w:sz="4" w:space="0"/>
              <w:bottom w:val="single" w:color="auto" w:sz="8" w:space="0"/>
              <w:right w:val="single" w:color="auto" w:sz="12"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top w:val="single" w:color="auto" w:sz="12" w:space="0"/>
              <w:left w:val="single" w:color="auto" w:sz="12" w:space="0"/>
              <w:bottom w:val="single" w:color="auto" w:sz="12" w:space="0"/>
              <w:right w:val="single" w:color="auto" w:sz="4" w:space="0"/>
            </w:tcBorders>
            <w:vAlign w:val="center"/>
          </w:tcPr>
          <w:p>
            <w:pPr>
              <w:spacing w:line="280" w:lineRule="exact"/>
              <w:ind w:firstLine="0" w:firstLineChars="0"/>
              <w:jc w:val="left"/>
              <w:rPr>
                <w:rFonts w:ascii="宋体" w:hAnsi="宋体" w:cs="宋体"/>
                <w:color w:val="000000"/>
                <w:kern w:val="1"/>
              </w:rPr>
            </w:pPr>
          </w:p>
        </w:tc>
        <w:tc>
          <w:tcPr>
            <w:tcW w:w="850" w:type="dxa"/>
            <w:tcBorders>
              <w:top w:val="single" w:color="auto" w:sz="8" w:space="0"/>
              <w:left w:val="single" w:color="auto" w:sz="4" w:space="0"/>
              <w:bottom w:val="single" w:color="auto" w:sz="12" w:space="0"/>
            </w:tcBorders>
            <w:vAlign w:val="center"/>
          </w:tcPr>
          <w:p>
            <w:pPr>
              <w:spacing w:line="240" w:lineRule="auto"/>
              <w:ind w:firstLine="0" w:firstLineChars="0"/>
              <w:jc w:val="center"/>
              <w:rPr>
                <w:rFonts w:ascii="Calibri" w:hAnsi="Calibri"/>
                <w:color w:val="000000"/>
              </w:rPr>
            </w:pPr>
            <w:r>
              <w:rPr>
                <w:rFonts w:hint="eastAsia" w:ascii="Calibri" w:hAnsi="Calibri"/>
                <w:color w:val="000000"/>
              </w:rPr>
              <w:t>职业危害因素分析与评</w:t>
            </w:r>
          </w:p>
          <w:p>
            <w:pPr>
              <w:spacing w:line="240" w:lineRule="auto"/>
              <w:ind w:firstLine="0" w:firstLineChars="0"/>
              <w:rPr>
                <w:rFonts w:ascii="Calibri" w:hAnsi="Calibri"/>
                <w:color w:val="000000"/>
              </w:rPr>
            </w:pPr>
            <w:r>
              <w:rPr>
                <w:rFonts w:hint="eastAsia" w:ascii="Calibri" w:hAnsi="Calibri"/>
                <w:color w:val="000000"/>
              </w:rPr>
              <w:t>价</w:t>
            </w:r>
          </w:p>
        </w:tc>
        <w:tc>
          <w:tcPr>
            <w:tcW w:w="7106" w:type="dxa"/>
            <w:tcBorders>
              <w:top w:val="single" w:color="auto" w:sz="8" w:space="0"/>
              <w:bottom w:val="single" w:color="auto" w:sz="12" w:space="0"/>
            </w:tcBorders>
            <w:vAlign w:val="center"/>
          </w:tcPr>
          <w:p>
            <w:pPr>
              <w:ind w:firstLine="420"/>
              <w:rPr>
                <w:rFonts w:ascii="宋体" w:hAnsi="宋体"/>
                <w:color w:val="000000"/>
                <w:sz w:val="21"/>
                <w:szCs w:val="21"/>
              </w:rPr>
            </w:pPr>
            <w:r>
              <w:rPr>
                <w:rFonts w:hint="eastAsia" w:ascii="宋体" w:hAnsi="宋体"/>
                <w:color w:val="000000"/>
                <w:sz w:val="21"/>
                <w:szCs w:val="21"/>
              </w:rPr>
              <w:t>本课程通过环境监测、健康监护、实验室测试等手段，对危害因素的潜在作用进行定性和定量的鉴定和评价，推断它在多大剂量（浓度）和何种条件下可能构成损害；探讨其损害性质；并估测其在一般接触条件下可能造成损害的程度和概率。</w:t>
            </w:r>
          </w:p>
        </w:tc>
        <w:tc>
          <w:tcPr>
            <w:tcW w:w="419" w:type="dxa"/>
            <w:tcBorders>
              <w:top w:val="single" w:color="auto" w:sz="8" w:space="0"/>
              <w:bottom w:val="single" w:color="auto" w:sz="12" w:space="0"/>
            </w:tcBorders>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3</w:t>
            </w:r>
          </w:p>
        </w:tc>
        <w:tc>
          <w:tcPr>
            <w:tcW w:w="697" w:type="dxa"/>
            <w:tcBorders>
              <w:top w:val="single" w:color="auto" w:sz="8" w:space="0"/>
              <w:bottom w:val="single" w:color="auto" w:sz="12" w:space="0"/>
              <w:right w:val="single" w:color="auto" w:sz="12" w:space="0"/>
            </w:tcBorders>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54</w:t>
            </w:r>
          </w:p>
        </w:tc>
      </w:tr>
    </w:tbl>
    <w:p>
      <w:pPr>
        <w:ind w:firstLine="0" w:firstLineChars="0"/>
        <w:rPr>
          <w:rFonts w:ascii="Calibri" w:hAnsi="Calibri"/>
          <w:color w:val="000000"/>
          <w:sz w:val="20"/>
          <w:szCs w:val="20"/>
        </w:rPr>
      </w:pPr>
      <w:r>
        <w:rPr>
          <w:rFonts w:ascii="Calibri" w:hAnsi="Calibri"/>
          <w:color w:val="000000"/>
        </w:rPr>
        <w:drawing>
          <wp:anchor distT="0" distB="0" distL="114300" distR="114300" simplePos="0" relativeHeight="251670528" behindDoc="0" locked="0" layoutInCell="1" allowOverlap="1">
            <wp:simplePos x="0" y="0"/>
            <wp:positionH relativeFrom="column">
              <wp:posOffset>5611495</wp:posOffset>
            </wp:positionH>
            <wp:positionV relativeFrom="paragraph">
              <wp:posOffset>-5581015</wp:posOffset>
            </wp:positionV>
            <wp:extent cx="209550" cy="180975"/>
            <wp:effectExtent l="0" t="0" r="0" b="9525"/>
            <wp:wrapNone/>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anchor>
        </w:drawing>
      </w:r>
    </w:p>
    <w:tbl>
      <w:tblPr>
        <w:tblStyle w:val="16"/>
        <w:tblW w:w="9782" w:type="dxa"/>
        <w:tblInd w:w="-284"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50"/>
        <w:gridCol w:w="7106"/>
        <w:gridCol w:w="419"/>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restart"/>
            <w:tcBorders>
              <w:top w:val="single" w:color="auto" w:sz="12" w:space="0"/>
              <w:left w:val="single" w:color="auto" w:sz="12" w:space="0"/>
              <w:bottom w:val="single" w:color="auto" w:sz="12" w:space="0"/>
            </w:tcBorders>
            <w:vAlign w:val="center"/>
          </w:tcPr>
          <w:p>
            <w:pPr>
              <w:ind w:firstLine="0" w:firstLineChars="0"/>
              <w:rPr>
                <w:rFonts w:ascii="Calibri" w:hAnsi="Calibri"/>
                <w:color w:val="000000"/>
              </w:rPr>
            </w:pPr>
            <w:r>
              <w:rPr>
                <w:rFonts w:hint="eastAsia" w:ascii="Calibri" w:hAnsi="Calibri"/>
                <w:color w:val="000000"/>
              </w:rPr>
              <w:t>特色</w:t>
            </w:r>
            <w:r>
              <w:rPr>
                <w:rFonts w:ascii="Calibri" w:hAnsi="Calibri"/>
                <w:color w:val="000000"/>
              </w:rPr>
              <w:t>课</w:t>
            </w:r>
          </w:p>
        </w:tc>
        <w:tc>
          <w:tcPr>
            <w:tcW w:w="850" w:type="dxa"/>
            <w:tcBorders>
              <w:top w:val="single" w:color="auto" w:sz="12" w:space="0"/>
              <w:bottom w:val="single" w:color="auto" w:sz="12" w:space="0"/>
            </w:tcBorders>
            <w:vAlign w:val="center"/>
          </w:tcPr>
          <w:p>
            <w:pPr>
              <w:spacing w:line="240" w:lineRule="auto"/>
              <w:ind w:firstLine="0" w:firstLineChars="0"/>
              <w:jc w:val="left"/>
              <w:rPr>
                <w:rFonts w:ascii="Calibri" w:hAnsi="Calibri"/>
                <w:color w:val="000000"/>
              </w:rPr>
            </w:pPr>
            <w:r>
              <w:rPr>
                <w:rFonts w:hint="eastAsia" w:ascii="Calibri" w:hAnsi="Calibri"/>
                <w:color w:val="000000"/>
              </w:rPr>
              <w:t>消防</w:t>
            </w:r>
            <w:r>
              <w:rPr>
                <w:rFonts w:ascii="Calibri" w:hAnsi="Calibri"/>
                <w:color w:val="000000"/>
              </w:rPr>
              <w:t>安全</w:t>
            </w:r>
          </w:p>
        </w:tc>
        <w:tc>
          <w:tcPr>
            <w:tcW w:w="7106" w:type="dxa"/>
            <w:tcBorders>
              <w:top w:val="single" w:color="auto" w:sz="12" w:space="0"/>
              <w:bottom w:val="single" w:color="auto" w:sz="12" w:space="0"/>
            </w:tcBorders>
            <w:vAlign w:val="center"/>
          </w:tcPr>
          <w:p>
            <w:pPr>
              <w:ind w:firstLine="420"/>
              <w:rPr>
                <w:rFonts w:ascii="宋体" w:hAnsi="宋体"/>
                <w:color w:val="000000"/>
                <w:sz w:val="21"/>
                <w:szCs w:val="21"/>
              </w:rPr>
            </w:pPr>
            <w:r>
              <w:rPr>
                <w:rFonts w:hint="eastAsia" w:ascii="宋体" w:hAnsi="宋体"/>
                <w:color w:val="000000"/>
                <w:sz w:val="21"/>
                <w:szCs w:val="21"/>
              </w:rPr>
              <w:t>本</w:t>
            </w:r>
            <w:r>
              <w:rPr>
                <w:rFonts w:ascii="宋体" w:hAnsi="宋体"/>
                <w:color w:val="000000"/>
                <w:sz w:val="21"/>
                <w:szCs w:val="21"/>
              </w:rPr>
              <w:t>课程共分为四部分，第一部分防火常识，主要介绍居家、外出应当掌握的防火知识；第二部分灭火常识，主要介绍常见火灾的扑灭方法以及报警方法；第三部分逃生及自救常识，主要介绍火灾发生后的逃生及自救方法；第四部分消防器材的选择及使用，主要介绍常用灭火器的分类及使用方法。</w:t>
            </w:r>
          </w:p>
        </w:tc>
        <w:tc>
          <w:tcPr>
            <w:tcW w:w="419" w:type="dxa"/>
            <w:tcBorders>
              <w:top w:val="single" w:color="auto" w:sz="12" w:space="0"/>
              <w:bottom w:val="single" w:color="auto" w:sz="12" w:space="0"/>
            </w:tcBorders>
            <w:vAlign w:val="center"/>
          </w:tcPr>
          <w:p>
            <w:pPr>
              <w:ind w:firstLine="0" w:firstLineChars="0"/>
              <w:rPr>
                <w:rFonts w:ascii="宋体" w:hAnsi="宋体"/>
                <w:color w:val="000000"/>
                <w:sz w:val="21"/>
                <w:szCs w:val="21"/>
              </w:rPr>
            </w:pPr>
            <w:r>
              <w:rPr>
                <w:rFonts w:ascii="宋体" w:hAnsi="宋体"/>
                <w:color w:val="000000"/>
                <w:sz w:val="21"/>
                <w:szCs w:val="21"/>
              </w:rPr>
              <w:t>3</w:t>
            </w:r>
          </w:p>
        </w:tc>
        <w:tc>
          <w:tcPr>
            <w:tcW w:w="697" w:type="dxa"/>
            <w:tcBorders>
              <w:top w:val="single" w:color="auto" w:sz="12" w:space="0"/>
              <w:bottom w:val="single" w:color="auto" w:sz="12" w:space="0"/>
              <w:right w:val="single" w:color="auto" w:sz="12" w:space="0"/>
            </w:tcBorders>
            <w:vAlign w:val="center"/>
          </w:tcPr>
          <w:p>
            <w:pPr>
              <w:ind w:firstLine="0" w:firstLineChars="0"/>
              <w:rPr>
                <w:rFonts w:ascii="宋体" w:hAnsi="宋体"/>
                <w:color w:val="000000"/>
                <w:sz w:val="21"/>
                <w:szCs w:val="21"/>
              </w:rPr>
            </w:pPr>
            <w:r>
              <w:rPr>
                <w:rFonts w:ascii="宋体" w:hAnsi="宋体"/>
                <w:color w:val="000000"/>
                <w:sz w:val="21"/>
                <w:szCs w:val="21"/>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Pr>
        <w:tc>
          <w:tcPr>
            <w:tcW w:w="710" w:type="dxa"/>
            <w:vMerge w:val="continue"/>
            <w:tcBorders>
              <w:top w:val="single" w:color="auto" w:sz="12" w:space="0"/>
              <w:left w:val="single" w:color="auto" w:sz="12" w:space="0"/>
              <w:bottom w:val="single" w:color="auto" w:sz="12" w:space="0"/>
            </w:tcBorders>
            <w:vAlign w:val="center"/>
          </w:tcPr>
          <w:p>
            <w:pPr>
              <w:spacing w:line="240" w:lineRule="auto"/>
              <w:ind w:firstLine="0" w:firstLineChars="0"/>
              <w:rPr>
                <w:rFonts w:ascii="Calibri" w:hAnsi="Calibri"/>
                <w:color w:val="000000"/>
              </w:rPr>
            </w:pPr>
          </w:p>
        </w:tc>
        <w:tc>
          <w:tcPr>
            <w:tcW w:w="850" w:type="dxa"/>
            <w:tcBorders>
              <w:top w:val="single" w:color="auto" w:sz="12" w:space="0"/>
              <w:bottom w:val="single" w:color="auto" w:sz="6" w:space="0"/>
            </w:tcBorders>
            <w:vAlign w:val="center"/>
          </w:tcPr>
          <w:p>
            <w:pPr>
              <w:spacing w:line="240" w:lineRule="auto"/>
              <w:ind w:firstLine="0" w:firstLineChars="0"/>
              <w:jc w:val="left"/>
              <w:rPr>
                <w:rFonts w:ascii="Calibri" w:hAnsi="Calibri"/>
                <w:color w:val="000000"/>
              </w:rPr>
            </w:pPr>
            <w:r>
              <w:rPr>
                <w:rFonts w:ascii="Calibri" w:hAnsi="Calibri"/>
                <w:color w:val="000000"/>
              </w:rPr>
              <w:t>建筑施工安全</w:t>
            </w:r>
          </w:p>
        </w:tc>
        <w:tc>
          <w:tcPr>
            <w:tcW w:w="7106" w:type="dxa"/>
            <w:tcBorders>
              <w:top w:val="single" w:color="auto" w:sz="12" w:space="0"/>
              <w:bottom w:val="single" w:color="auto" w:sz="8" w:space="0"/>
            </w:tcBorders>
            <w:vAlign w:val="center"/>
          </w:tcPr>
          <w:p>
            <w:pPr>
              <w:ind w:firstLine="420"/>
              <w:rPr>
                <w:rFonts w:ascii="宋体" w:hAnsi="宋体"/>
                <w:color w:val="000000"/>
                <w:sz w:val="21"/>
                <w:szCs w:val="21"/>
              </w:rPr>
            </w:pPr>
            <w:r>
              <w:rPr>
                <w:rFonts w:hint="eastAsia" w:ascii="宋体" w:hAnsi="宋体"/>
                <w:color w:val="000000"/>
                <w:sz w:val="21"/>
                <w:szCs w:val="21"/>
              </w:rPr>
              <w:t>本课程通过</w:t>
            </w:r>
            <w:r>
              <w:rPr>
                <w:rFonts w:ascii="宋体" w:hAnsi="宋体"/>
                <w:color w:val="000000"/>
                <w:sz w:val="21"/>
                <w:szCs w:val="21"/>
              </w:rPr>
              <w:t>对建筑工程基础知识进行介绍</w:t>
            </w:r>
            <w:r>
              <w:rPr>
                <w:rFonts w:hint="eastAsia" w:ascii="宋体" w:hAnsi="宋体"/>
                <w:color w:val="000000"/>
                <w:sz w:val="21"/>
                <w:szCs w:val="21"/>
              </w:rPr>
              <w:t>，</w:t>
            </w:r>
            <w:r>
              <w:rPr>
                <w:rFonts w:ascii="宋体" w:hAnsi="宋体"/>
                <w:color w:val="000000"/>
                <w:sz w:val="21"/>
                <w:szCs w:val="21"/>
              </w:rPr>
              <w:t>对建筑施工安全分管理与技术层面进行</w:t>
            </w:r>
            <w:r>
              <w:rPr>
                <w:rFonts w:hint="eastAsia" w:ascii="宋体" w:hAnsi="宋体"/>
                <w:color w:val="000000"/>
                <w:sz w:val="21"/>
                <w:szCs w:val="21"/>
              </w:rPr>
              <w:t>了</w:t>
            </w:r>
            <w:r>
              <w:rPr>
                <w:rFonts w:ascii="宋体" w:hAnsi="宋体"/>
                <w:color w:val="000000"/>
                <w:sz w:val="21"/>
                <w:szCs w:val="21"/>
              </w:rPr>
              <w:t>详细探讨。在安全管理方面</w:t>
            </w:r>
            <w:r>
              <w:rPr>
                <w:rFonts w:hint="eastAsia" w:ascii="宋体" w:hAnsi="宋体"/>
                <w:color w:val="000000"/>
                <w:sz w:val="21"/>
                <w:szCs w:val="21"/>
              </w:rPr>
              <w:t>，</w:t>
            </w:r>
            <w:r>
              <w:rPr>
                <w:rFonts w:ascii="宋体" w:hAnsi="宋体"/>
                <w:color w:val="000000"/>
                <w:sz w:val="21"/>
                <w:szCs w:val="21"/>
              </w:rPr>
              <w:t>详细阐述与建筑工程安全相关的主要法律、法规、规定</w:t>
            </w:r>
            <w:r>
              <w:rPr>
                <w:rFonts w:hint="eastAsia" w:ascii="宋体" w:hAnsi="宋体"/>
                <w:color w:val="000000"/>
                <w:sz w:val="21"/>
                <w:szCs w:val="21"/>
              </w:rPr>
              <w:t>，</w:t>
            </w:r>
            <w:r>
              <w:rPr>
                <w:rFonts w:ascii="宋体" w:hAnsi="宋体"/>
                <w:color w:val="000000"/>
                <w:sz w:val="21"/>
                <w:szCs w:val="21"/>
              </w:rPr>
              <w:t>叙述了我国建筑施工安全管理体制</w:t>
            </w:r>
            <w:r>
              <w:rPr>
                <w:rFonts w:hint="eastAsia" w:ascii="宋体" w:hAnsi="宋体"/>
                <w:color w:val="000000"/>
                <w:sz w:val="21"/>
                <w:szCs w:val="21"/>
              </w:rPr>
              <w:t>，</w:t>
            </w:r>
            <w:r>
              <w:rPr>
                <w:rFonts w:ascii="宋体" w:hAnsi="宋体"/>
                <w:color w:val="000000"/>
                <w:sz w:val="21"/>
                <w:szCs w:val="21"/>
              </w:rPr>
              <w:t>以及对施工现场的安全管理知识。在安全技术方面围绕土方工程、脚手架工程、模板工程、主体工程、建筑施工机械、施工现场临时用电、施工现场的防火防爆、爆破工程、拆除工程、</w:t>
            </w:r>
            <w:r>
              <w:rPr>
                <w:rFonts w:hint="eastAsia" w:ascii="宋体" w:hAnsi="宋体"/>
                <w:color w:val="000000"/>
                <w:sz w:val="21"/>
                <w:szCs w:val="21"/>
              </w:rPr>
              <w:t>“</w:t>
            </w:r>
            <w:r>
              <w:rPr>
                <w:rFonts w:ascii="宋体" w:hAnsi="宋体"/>
                <w:color w:val="000000"/>
                <w:sz w:val="21"/>
                <w:szCs w:val="21"/>
              </w:rPr>
              <w:t>建筑三宝</w:t>
            </w:r>
            <w:r>
              <w:rPr>
                <w:rFonts w:hint="eastAsia" w:ascii="宋体" w:hAnsi="宋体"/>
                <w:color w:val="000000"/>
                <w:sz w:val="21"/>
                <w:szCs w:val="21"/>
              </w:rPr>
              <w:t>”</w:t>
            </w:r>
            <w:r>
              <w:rPr>
                <w:rFonts w:ascii="宋体" w:hAnsi="宋体"/>
                <w:color w:val="000000"/>
                <w:sz w:val="21"/>
                <w:szCs w:val="21"/>
              </w:rPr>
              <w:t>的检测与正确使用等内容进行详细讲解。最后从理论上阐述了施工伤亡事故的调查处理方法与一般预防措施</w:t>
            </w:r>
            <w:r>
              <w:rPr>
                <w:rFonts w:hint="eastAsia" w:ascii="宋体" w:hAnsi="宋体"/>
                <w:color w:val="000000"/>
                <w:sz w:val="21"/>
                <w:szCs w:val="21"/>
              </w:rPr>
              <w:t>，</w:t>
            </w:r>
            <w:r>
              <w:rPr>
                <w:rFonts w:ascii="宋体" w:hAnsi="宋体"/>
                <w:color w:val="000000"/>
                <w:sz w:val="21"/>
                <w:szCs w:val="21"/>
              </w:rPr>
              <w:t>并对施工过程中发生的典型事故案例进行深入的分析和讨论</w:t>
            </w:r>
            <w:r>
              <w:rPr>
                <w:rFonts w:hint="eastAsia" w:ascii="宋体" w:hAnsi="宋体"/>
                <w:color w:val="000000"/>
                <w:sz w:val="21"/>
                <w:szCs w:val="21"/>
              </w:rPr>
              <w:t>，</w:t>
            </w:r>
            <w:r>
              <w:rPr>
                <w:rFonts w:ascii="宋体" w:hAnsi="宋体"/>
                <w:color w:val="000000"/>
                <w:sz w:val="21"/>
                <w:szCs w:val="21"/>
              </w:rPr>
              <w:t>并给出该类事故的特殊预防措施等</w:t>
            </w:r>
            <w:r>
              <w:rPr>
                <w:rFonts w:hint="eastAsia" w:ascii="宋体" w:hAnsi="宋体"/>
                <w:color w:val="000000"/>
                <w:sz w:val="21"/>
                <w:szCs w:val="21"/>
              </w:rPr>
              <w:t>。</w:t>
            </w:r>
          </w:p>
        </w:tc>
        <w:tc>
          <w:tcPr>
            <w:tcW w:w="419" w:type="dxa"/>
            <w:tcBorders>
              <w:top w:val="single" w:color="auto" w:sz="12" w:space="0"/>
              <w:bottom w:val="single" w:color="auto" w:sz="8" w:space="0"/>
              <w:right w:val="single" w:color="auto" w:sz="4" w:space="0"/>
            </w:tcBorders>
            <w:vAlign w:val="center"/>
          </w:tcPr>
          <w:p>
            <w:pPr>
              <w:ind w:firstLine="0" w:firstLineChars="0"/>
              <w:rPr>
                <w:rFonts w:ascii="宋体" w:hAnsi="宋体"/>
                <w:color w:val="000000"/>
                <w:sz w:val="21"/>
                <w:szCs w:val="21"/>
              </w:rPr>
            </w:pPr>
            <w:r>
              <w:rPr>
                <w:rFonts w:ascii="宋体" w:hAnsi="宋体"/>
                <w:color w:val="000000"/>
                <w:sz w:val="21"/>
                <w:szCs w:val="21"/>
              </w:rPr>
              <w:t>3</w:t>
            </w:r>
          </w:p>
        </w:tc>
        <w:tc>
          <w:tcPr>
            <w:tcW w:w="697" w:type="dxa"/>
            <w:tcBorders>
              <w:top w:val="single" w:color="auto" w:sz="12" w:space="0"/>
              <w:left w:val="single" w:color="auto" w:sz="4" w:space="0"/>
              <w:bottom w:val="single" w:color="auto" w:sz="8" w:space="0"/>
              <w:right w:val="single" w:color="auto" w:sz="12" w:space="0"/>
            </w:tcBorders>
            <w:vAlign w:val="center"/>
          </w:tcPr>
          <w:p>
            <w:pPr>
              <w:ind w:firstLine="0" w:firstLineChars="0"/>
              <w:rPr>
                <w:rFonts w:ascii="宋体" w:hAnsi="宋体"/>
                <w:color w:val="000000"/>
                <w:sz w:val="21"/>
                <w:szCs w:val="21"/>
              </w:rPr>
            </w:pPr>
            <w:r>
              <w:rPr>
                <w:rFonts w:ascii="宋体" w:hAnsi="宋体"/>
                <w:color w:val="000000"/>
                <w:sz w:val="21"/>
                <w:szCs w:val="21"/>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top w:val="single" w:color="auto" w:sz="12" w:space="0"/>
              <w:left w:val="single" w:color="auto" w:sz="12" w:space="0"/>
              <w:bottom w:val="single" w:color="auto" w:sz="12" w:space="0"/>
            </w:tcBorders>
            <w:vAlign w:val="center"/>
          </w:tcPr>
          <w:p>
            <w:pPr>
              <w:spacing w:line="240" w:lineRule="auto"/>
              <w:ind w:firstLine="0" w:firstLineChars="0"/>
              <w:rPr>
                <w:rFonts w:ascii="Calibri" w:hAnsi="Calibri"/>
                <w:color w:val="000000"/>
              </w:rPr>
            </w:pPr>
          </w:p>
        </w:tc>
        <w:tc>
          <w:tcPr>
            <w:tcW w:w="850" w:type="dxa"/>
            <w:tcBorders>
              <w:top w:val="single" w:color="auto" w:sz="6" w:space="0"/>
              <w:bottom w:val="single" w:color="auto" w:sz="12" w:space="0"/>
            </w:tcBorders>
            <w:vAlign w:val="center"/>
          </w:tcPr>
          <w:p>
            <w:pPr>
              <w:spacing w:line="240" w:lineRule="auto"/>
              <w:ind w:firstLine="0" w:firstLineChars="0"/>
              <w:jc w:val="left"/>
              <w:rPr>
                <w:rFonts w:ascii="Calibri" w:hAnsi="Calibri"/>
                <w:color w:val="000000"/>
              </w:rPr>
            </w:pPr>
            <w:r>
              <w:rPr>
                <w:rFonts w:hint="eastAsia" w:ascii="Calibri" w:hAnsi="Calibri"/>
                <w:color w:val="000000"/>
              </w:rPr>
              <w:t>安全</w:t>
            </w:r>
            <w:r>
              <w:rPr>
                <w:rFonts w:ascii="Calibri" w:hAnsi="Calibri"/>
                <w:color w:val="000000"/>
              </w:rPr>
              <w:t>工程师培训课程</w:t>
            </w:r>
          </w:p>
        </w:tc>
        <w:tc>
          <w:tcPr>
            <w:tcW w:w="7106" w:type="dxa"/>
            <w:tcBorders>
              <w:top w:val="single" w:color="auto" w:sz="8" w:space="0"/>
              <w:bottom w:val="single" w:color="auto" w:sz="12" w:space="0"/>
            </w:tcBorders>
            <w:vAlign w:val="center"/>
          </w:tcPr>
          <w:p>
            <w:pPr>
              <w:ind w:firstLine="420"/>
              <w:rPr>
                <w:rFonts w:ascii="宋体" w:hAnsi="宋体"/>
                <w:color w:val="000000"/>
                <w:sz w:val="21"/>
                <w:szCs w:val="21"/>
              </w:rPr>
            </w:pPr>
            <w:r>
              <w:rPr>
                <w:rFonts w:hint="eastAsia" w:ascii="宋体" w:hAnsi="宋体"/>
                <w:color w:val="000000"/>
                <w:sz w:val="21"/>
                <w:szCs w:val="21"/>
              </w:rPr>
              <w:t>本课程针对安全工程师培训的不同专业方向，划分为矿山、危化、建筑施工、交通、电力、通用六个专业，学生可以从以上六个专业中选择其中一个，</w:t>
            </w:r>
            <w:r>
              <w:rPr>
                <w:rFonts w:ascii="宋体" w:hAnsi="宋体"/>
                <w:color w:val="000000"/>
                <w:sz w:val="21"/>
                <w:szCs w:val="21"/>
              </w:rPr>
              <w:t>并结合证书内容</w:t>
            </w:r>
            <w:r>
              <w:rPr>
                <w:rFonts w:hint="eastAsia" w:ascii="宋体" w:hAnsi="宋体"/>
                <w:color w:val="000000"/>
                <w:sz w:val="21"/>
                <w:szCs w:val="21"/>
              </w:rPr>
              <w:t>进行</w:t>
            </w:r>
            <w:r>
              <w:rPr>
                <w:rFonts w:ascii="宋体" w:hAnsi="宋体"/>
                <w:color w:val="000000"/>
                <w:sz w:val="21"/>
                <w:szCs w:val="21"/>
              </w:rPr>
              <w:t>学习</w:t>
            </w:r>
            <w:r>
              <w:rPr>
                <w:rFonts w:hint="eastAsia" w:ascii="宋体" w:hAnsi="宋体"/>
                <w:color w:val="000000"/>
                <w:sz w:val="21"/>
                <w:szCs w:val="21"/>
              </w:rPr>
              <w:t>。</w:t>
            </w:r>
          </w:p>
        </w:tc>
        <w:tc>
          <w:tcPr>
            <w:tcW w:w="419" w:type="dxa"/>
            <w:tcBorders>
              <w:top w:val="single" w:color="auto" w:sz="8" w:space="0"/>
              <w:bottom w:val="single" w:color="auto" w:sz="12" w:space="0"/>
              <w:right w:val="single" w:color="auto" w:sz="4"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w:t>
            </w:r>
          </w:p>
        </w:tc>
        <w:tc>
          <w:tcPr>
            <w:tcW w:w="697" w:type="dxa"/>
            <w:tcBorders>
              <w:top w:val="single" w:color="auto" w:sz="8" w:space="0"/>
              <w:left w:val="single" w:color="auto" w:sz="4" w:space="0"/>
              <w:bottom w:val="single" w:color="auto" w:sz="12"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54</w:t>
            </w:r>
          </w:p>
        </w:tc>
      </w:tr>
    </w:tbl>
    <w:p>
      <w:pPr>
        <w:ind w:firstLine="400"/>
        <w:rPr>
          <w:rFonts w:ascii="Calibri" w:hAnsi="Calibri"/>
          <w:color w:val="000000"/>
          <w:sz w:val="20"/>
          <w:szCs w:val="20"/>
        </w:rPr>
      </w:pPr>
    </w:p>
    <w:tbl>
      <w:tblPr>
        <w:tblStyle w:val="16"/>
        <w:tblW w:w="9782" w:type="dxa"/>
        <w:tblInd w:w="-284"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50"/>
        <w:gridCol w:w="6931"/>
        <w:gridCol w:w="594"/>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restart"/>
            <w:tcBorders>
              <w:top w:val="single" w:color="auto" w:sz="12" w:space="0"/>
              <w:left w:val="single" w:color="auto" w:sz="12" w:space="0"/>
            </w:tcBorders>
            <w:vAlign w:val="center"/>
          </w:tcPr>
          <w:p>
            <w:pPr>
              <w:ind w:firstLine="0" w:firstLineChars="0"/>
              <w:rPr>
                <w:rFonts w:ascii="Calibri" w:hAnsi="Calibri"/>
                <w:color w:val="000000"/>
              </w:rPr>
            </w:pPr>
            <w:r>
              <w:rPr>
                <w:rFonts w:hint="eastAsia" w:ascii="Calibri" w:hAnsi="Calibri"/>
                <w:color w:val="000000"/>
              </w:rPr>
              <w:t>通识课</w:t>
            </w:r>
          </w:p>
        </w:tc>
        <w:tc>
          <w:tcPr>
            <w:tcW w:w="850" w:type="dxa"/>
            <w:tcBorders>
              <w:top w:val="single" w:color="auto" w:sz="12" w:space="0"/>
              <w:bottom w:val="single" w:color="auto" w:sz="12" w:space="0"/>
            </w:tcBorders>
            <w:vAlign w:val="center"/>
          </w:tcPr>
          <w:p>
            <w:pPr>
              <w:spacing w:line="240" w:lineRule="auto"/>
              <w:ind w:firstLine="0" w:firstLineChars="0"/>
              <w:jc w:val="left"/>
              <w:rPr>
                <w:rFonts w:ascii="Calibri" w:hAnsi="Calibri"/>
                <w:color w:val="000000"/>
              </w:rPr>
            </w:pPr>
            <w:r>
              <w:rPr>
                <w:rFonts w:hint="eastAsia" w:ascii="Calibri" w:hAnsi="Calibri"/>
              </w:rPr>
              <w:t>地域文化</w:t>
            </w:r>
          </w:p>
        </w:tc>
        <w:tc>
          <w:tcPr>
            <w:tcW w:w="6931" w:type="dxa"/>
            <w:tcBorders>
              <w:top w:val="single" w:color="auto" w:sz="12" w:space="0"/>
              <w:bottom w:val="single" w:color="auto" w:sz="12" w:space="0"/>
            </w:tcBorders>
            <w:vAlign w:val="center"/>
          </w:tcPr>
          <w:p>
            <w:pPr>
              <w:ind w:firstLine="420"/>
              <w:rPr>
                <w:rFonts w:ascii="宋体" w:hAnsi="宋体"/>
                <w:sz w:val="21"/>
                <w:szCs w:val="21"/>
              </w:rPr>
            </w:pPr>
            <w:r>
              <w:rPr>
                <w:rFonts w:hint="eastAsia" w:ascii="宋体" w:hAnsi="宋体"/>
                <w:sz w:val="21"/>
                <w:szCs w:val="21"/>
              </w:rPr>
              <w:t>本课程贯通我国汉唐历史文化发展，全面而重点地介绍汉唐历史文化的特色及其发展规律，包括汉唐历史文化沿革、汉唐文学、哲学宗教文化、皇室文化、教育文化、城市文化、风俗文化以及对汉唐文化的反思等方面的基础知识和基础理论。</w:t>
            </w:r>
          </w:p>
          <w:p>
            <w:pPr>
              <w:ind w:firstLine="420"/>
              <w:rPr>
                <w:rFonts w:ascii="宋体" w:hAnsi="宋体"/>
                <w:color w:val="000000"/>
                <w:sz w:val="21"/>
                <w:szCs w:val="21"/>
              </w:rPr>
            </w:pPr>
            <w:r>
              <w:rPr>
                <w:rFonts w:hint="eastAsia" w:ascii="宋体" w:hAnsi="宋体"/>
                <w:sz w:val="21"/>
                <w:szCs w:val="21"/>
              </w:rPr>
              <w:t>本课程坚持以马列主义、毛泽东思想、邓小平理论和科学发展观为指导，以素质教育的基本要求为核心，遵循汉唐历史文化形成和发展的客观事实，吸纳了考古学、历史学、民族学、民俗学等各个学科的最新成果，以史论的形式展现汉唐历史文化，突出汉唐历史文化的特色，有利于学生对汉唐以及中国古今历史、文物遗存、名胜古迹、风俗文化的了解，增长知识、陶冶性情，更好的提高人文素养，从而培养学生热爱祖国和民族历史文化情感，增强民族自信心和自豪感。</w:t>
            </w:r>
          </w:p>
        </w:tc>
        <w:tc>
          <w:tcPr>
            <w:tcW w:w="594" w:type="dxa"/>
            <w:tcBorders>
              <w:top w:val="single" w:color="auto" w:sz="12" w:space="0"/>
              <w:bottom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697" w:type="dxa"/>
            <w:tcBorders>
              <w:top w:val="single" w:color="auto" w:sz="12" w:space="0"/>
              <w:bottom w:val="single" w:color="auto" w:sz="12"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left w:val="single" w:color="auto" w:sz="12" w:space="0"/>
              <w:right w:val="single" w:color="auto" w:sz="8" w:space="0"/>
            </w:tcBorders>
            <w:vAlign w:val="center"/>
          </w:tcPr>
          <w:p>
            <w:pPr>
              <w:spacing w:line="240" w:lineRule="auto"/>
              <w:ind w:firstLine="0" w:firstLineChars="0"/>
              <w:rPr>
                <w:rFonts w:ascii="Calibri" w:hAnsi="Calibri"/>
                <w:color w:val="000000"/>
              </w:rPr>
            </w:pPr>
          </w:p>
        </w:tc>
        <w:tc>
          <w:tcPr>
            <w:tcW w:w="850" w:type="dxa"/>
            <w:tcBorders>
              <w:top w:val="single" w:color="auto" w:sz="12" w:space="0"/>
              <w:left w:val="single" w:color="auto" w:sz="8" w:space="0"/>
              <w:bottom w:val="single" w:color="auto" w:sz="8" w:space="0"/>
              <w:right w:val="single" w:color="auto" w:sz="8" w:space="0"/>
            </w:tcBorders>
            <w:vAlign w:val="center"/>
          </w:tcPr>
          <w:p>
            <w:pPr>
              <w:spacing w:line="240" w:lineRule="auto"/>
              <w:ind w:firstLine="0" w:firstLineChars="0"/>
              <w:jc w:val="left"/>
              <w:rPr>
                <w:rFonts w:ascii="Calibri" w:hAnsi="Calibri"/>
                <w:color w:val="000000"/>
              </w:rPr>
            </w:pPr>
            <w:r>
              <w:rPr>
                <w:rFonts w:hint="eastAsia" w:ascii="Calibri" w:hAnsi="Calibri"/>
              </w:rPr>
              <w:t>社交礼仪</w:t>
            </w:r>
          </w:p>
        </w:tc>
        <w:tc>
          <w:tcPr>
            <w:tcW w:w="6931" w:type="dxa"/>
            <w:tcBorders>
              <w:top w:val="single" w:color="auto" w:sz="12" w:space="0"/>
              <w:left w:val="single" w:color="auto" w:sz="8" w:space="0"/>
              <w:bottom w:val="single" w:color="auto" w:sz="8" w:space="0"/>
            </w:tcBorders>
            <w:vAlign w:val="center"/>
          </w:tcPr>
          <w:p>
            <w:pPr>
              <w:ind w:firstLine="420"/>
              <w:rPr>
                <w:rFonts w:ascii="宋体" w:hAnsi="宋体"/>
                <w:sz w:val="21"/>
                <w:szCs w:val="21"/>
              </w:rPr>
            </w:pPr>
            <w:r>
              <w:rPr>
                <w:rFonts w:hint="eastAsia" w:ascii="宋体" w:hAnsi="宋体"/>
                <w:sz w:val="21"/>
                <w:szCs w:val="21"/>
              </w:rPr>
              <w:t>本课程是一门人文应用科学，以礼仪活动、礼仪规范、礼仪规律作为自己的研究对象。同时，《现代礼仪》又是综合性的学科，与民俗、美学、传播学、伦理学、社会学、公共关系学紧密相连。</w:t>
            </w:r>
          </w:p>
          <w:p>
            <w:pPr>
              <w:ind w:firstLine="420"/>
              <w:rPr>
                <w:rFonts w:ascii="宋体" w:hAnsi="宋体"/>
                <w:color w:val="000000"/>
                <w:sz w:val="21"/>
                <w:szCs w:val="21"/>
              </w:rPr>
            </w:pPr>
            <w:r>
              <w:rPr>
                <w:rFonts w:hint="eastAsia" w:ascii="宋体" w:hAnsi="宋体"/>
                <w:sz w:val="21"/>
                <w:szCs w:val="21"/>
              </w:rPr>
              <w:t>通过对现代礼仪的学习，使学生首先掌握礼仪的基本理论，具备礼仪的理念，并认识礼仪交往活动的规律，了解礼仪活动的程序；其次要懂得一般社交礼仪行为的规范，具备社交礼仪的基本技能；最后，要培养学生的礼仪修养，提升学生的个人素质，树立良好的个人形象，以便能够更好地适应现代社会各种工作的需要。</w:t>
            </w:r>
          </w:p>
        </w:tc>
        <w:tc>
          <w:tcPr>
            <w:tcW w:w="594" w:type="dxa"/>
            <w:tcBorders>
              <w:top w:val="single" w:color="auto" w:sz="12" w:space="0"/>
              <w:bottom w:val="single" w:color="auto" w:sz="8" w:space="0"/>
              <w:right w:val="single" w:color="auto" w:sz="4"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697" w:type="dxa"/>
            <w:tcBorders>
              <w:top w:val="single" w:color="auto" w:sz="12" w:space="0"/>
              <w:left w:val="single" w:color="auto" w:sz="4" w:space="0"/>
              <w:bottom w:val="single" w:color="auto" w:sz="8"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left w:val="single" w:color="auto" w:sz="12" w:space="0"/>
              <w:right w:val="single" w:color="auto" w:sz="8" w:space="0"/>
            </w:tcBorders>
            <w:vAlign w:val="center"/>
          </w:tcPr>
          <w:p>
            <w:pPr>
              <w:spacing w:line="240" w:lineRule="auto"/>
              <w:ind w:firstLine="0" w:firstLineChars="0"/>
              <w:rPr>
                <w:rFonts w:ascii="Calibri" w:hAnsi="Calibri"/>
                <w:color w:val="000000"/>
              </w:rPr>
            </w:pPr>
          </w:p>
        </w:tc>
        <w:tc>
          <w:tcPr>
            <w:tcW w:w="850" w:type="dxa"/>
            <w:tcBorders>
              <w:top w:val="single" w:color="auto" w:sz="8" w:space="0"/>
              <w:left w:val="single" w:color="auto" w:sz="8" w:space="0"/>
              <w:bottom w:val="single" w:color="auto" w:sz="6" w:space="0"/>
            </w:tcBorders>
            <w:vAlign w:val="center"/>
          </w:tcPr>
          <w:p>
            <w:pPr>
              <w:spacing w:line="240" w:lineRule="auto"/>
              <w:ind w:firstLine="0" w:firstLineChars="0"/>
              <w:jc w:val="left"/>
              <w:rPr>
                <w:rFonts w:ascii="Calibri" w:hAnsi="Calibri"/>
                <w:color w:val="000000"/>
              </w:rPr>
            </w:pPr>
            <w:r>
              <w:rPr>
                <w:rFonts w:hint="eastAsia" w:ascii="Calibri" w:hAnsi="Calibri"/>
              </w:rPr>
              <w:t>实用写作</w:t>
            </w:r>
          </w:p>
        </w:tc>
        <w:tc>
          <w:tcPr>
            <w:tcW w:w="6931" w:type="dxa"/>
            <w:tcBorders>
              <w:top w:val="single" w:color="auto" w:sz="8" w:space="0"/>
              <w:bottom w:val="single" w:color="auto" w:sz="6" w:space="0"/>
            </w:tcBorders>
            <w:vAlign w:val="center"/>
          </w:tcPr>
          <w:p>
            <w:pPr>
              <w:ind w:firstLine="420"/>
              <w:rPr>
                <w:rFonts w:ascii="宋体" w:hAnsi="宋体"/>
                <w:color w:val="000000"/>
                <w:sz w:val="21"/>
                <w:szCs w:val="21"/>
              </w:rPr>
            </w:pPr>
            <w:r>
              <w:rPr>
                <w:rFonts w:hint="eastAsia" w:ascii="宋体" w:hAnsi="宋体"/>
                <w:sz w:val="21"/>
                <w:szCs w:val="21"/>
              </w:rPr>
              <w:t>本课程具有较强的实用性、实践性及指导性，通过学习是使学生系统地梳理在主要的专业课中所学的专业知识，找到学术研究的突破口，掌握专业论文的写作方法，形成一定的专业研究素养，提高创新能力和写作水平，使学生从理论上把握学科论文写作的一般规律和技巧，掌握文体写作知识，引导学生多接触文章实际，加深对学科论文的全面认识。</w:t>
            </w:r>
          </w:p>
        </w:tc>
        <w:tc>
          <w:tcPr>
            <w:tcW w:w="594" w:type="dxa"/>
            <w:tcBorders>
              <w:top w:val="single" w:color="auto" w:sz="8" w:space="0"/>
              <w:bottom w:val="single" w:color="auto" w:sz="6" w:space="0"/>
              <w:right w:val="single" w:color="auto" w:sz="4"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697" w:type="dxa"/>
            <w:tcBorders>
              <w:top w:val="single" w:color="auto" w:sz="8" w:space="0"/>
              <w:left w:val="single" w:color="auto" w:sz="4" w:space="0"/>
              <w:bottom w:val="single" w:color="auto" w:sz="6"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Pr>
        <w:tc>
          <w:tcPr>
            <w:tcW w:w="710" w:type="dxa"/>
            <w:vMerge w:val="continue"/>
            <w:tcBorders>
              <w:left w:val="single" w:color="auto" w:sz="12" w:space="0"/>
              <w:right w:val="single" w:color="auto" w:sz="8" w:space="0"/>
            </w:tcBorders>
            <w:vAlign w:val="center"/>
          </w:tcPr>
          <w:p>
            <w:pPr>
              <w:spacing w:line="240" w:lineRule="auto"/>
              <w:ind w:firstLine="0" w:firstLineChars="0"/>
              <w:rPr>
                <w:rFonts w:ascii="Calibri" w:hAnsi="Calibri"/>
                <w:color w:val="000000"/>
              </w:rPr>
            </w:pPr>
          </w:p>
        </w:tc>
        <w:tc>
          <w:tcPr>
            <w:tcW w:w="850" w:type="dxa"/>
            <w:tcBorders>
              <w:top w:val="single" w:color="auto" w:sz="6" w:space="0"/>
              <w:left w:val="single" w:color="auto" w:sz="8" w:space="0"/>
              <w:bottom w:val="single" w:color="auto" w:sz="6" w:space="0"/>
            </w:tcBorders>
            <w:vAlign w:val="center"/>
          </w:tcPr>
          <w:p>
            <w:pPr>
              <w:spacing w:line="240" w:lineRule="auto"/>
              <w:ind w:firstLine="0" w:firstLineChars="0"/>
              <w:jc w:val="left"/>
              <w:rPr>
                <w:rFonts w:ascii="Calibri" w:hAnsi="Calibri"/>
              </w:rPr>
            </w:pPr>
            <w:r>
              <w:rPr>
                <w:rFonts w:hint="eastAsia" w:ascii="Calibri" w:hAnsi="Calibri"/>
              </w:rPr>
              <w:t>实用法律基础</w:t>
            </w:r>
          </w:p>
        </w:tc>
        <w:tc>
          <w:tcPr>
            <w:tcW w:w="6931" w:type="dxa"/>
            <w:tcBorders>
              <w:top w:val="single" w:color="auto" w:sz="6" w:space="0"/>
              <w:bottom w:val="single" w:color="auto" w:sz="6" w:space="0"/>
            </w:tcBorders>
            <w:vAlign w:val="center"/>
          </w:tcPr>
          <w:p>
            <w:pPr>
              <w:ind w:firstLine="420"/>
              <w:rPr>
                <w:rFonts w:ascii="宋体" w:hAnsi="宋体"/>
                <w:color w:val="000000"/>
                <w:sz w:val="21"/>
                <w:szCs w:val="21"/>
              </w:rPr>
            </w:pPr>
            <w:r>
              <w:rPr>
                <w:rFonts w:hint="eastAsia" w:ascii="宋体" w:hAnsi="宋体"/>
                <w:sz w:val="21"/>
                <w:szCs w:val="21"/>
              </w:rPr>
              <w:t>本课程旨在培养和增强大学生的法制观念和法律素养，是建设社会主义法治国家的必然要求。为了普及法律知识，提高学生分析和解决实际法律问题的能力，通过阐述基础法学理论和各部门法的基本概念和基础知识，力求系统性、基础性、实用性和生动性的统一，使学生掌握常用的法律基础知识。</w:t>
            </w:r>
          </w:p>
        </w:tc>
        <w:tc>
          <w:tcPr>
            <w:tcW w:w="594" w:type="dxa"/>
            <w:tcBorders>
              <w:top w:val="single" w:color="auto" w:sz="6" w:space="0"/>
              <w:bottom w:val="single" w:color="auto" w:sz="6" w:space="0"/>
              <w:right w:val="single" w:color="auto" w:sz="4"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697" w:type="dxa"/>
            <w:tcBorders>
              <w:top w:val="single" w:color="auto" w:sz="6" w:space="0"/>
              <w:left w:val="single" w:color="auto" w:sz="4" w:space="0"/>
              <w:bottom w:val="single" w:color="auto" w:sz="6"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Pr>
        <w:tc>
          <w:tcPr>
            <w:tcW w:w="710" w:type="dxa"/>
            <w:vMerge w:val="continue"/>
            <w:tcBorders>
              <w:left w:val="single" w:color="auto" w:sz="12" w:space="0"/>
              <w:bottom w:val="single" w:color="auto" w:sz="12" w:space="0"/>
              <w:right w:val="single" w:color="auto" w:sz="8" w:space="0"/>
            </w:tcBorders>
            <w:vAlign w:val="center"/>
          </w:tcPr>
          <w:p>
            <w:pPr>
              <w:spacing w:line="240" w:lineRule="auto"/>
              <w:ind w:firstLine="0" w:firstLineChars="0"/>
              <w:rPr>
                <w:rFonts w:ascii="Calibri" w:hAnsi="Calibri"/>
                <w:color w:val="000000"/>
              </w:rPr>
            </w:pPr>
          </w:p>
        </w:tc>
        <w:tc>
          <w:tcPr>
            <w:tcW w:w="850" w:type="dxa"/>
            <w:tcBorders>
              <w:top w:val="single" w:color="auto" w:sz="6" w:space="0"/>
              <w:left w:val="single" w:color="auto" w:sz="8" w:space="0"/>
              <w:bottom w:val="single" w:color="auto" w:sz="12" w:space="0"/>
            </w:tcBorders>
            <w:vAlign w:val="center"/>
          </w:tcPr>
          <w:p>
            <w:pPr>
              <w:spacing w:line="240" w:lineRule="auto"/>
              <w:ind w:firstLine="0" w:firstLineChars="0"/>
              <w:jc w:val="left"/>
              <w:rPr>
                <w:rFonts w:ascii="Calibri" w:hAnsi="Calibri"/>
              </w:rPr>
            </w:pPr>
            <w:r>
              <w:rPr>
                <w:rFonts w:hint="eastAsia" w:ascii="Calibri" w:hAnsi="Calibri"/>
              </w:rPr>
              <w:t>汉唐</w:t>
            </w:r>
            <w:r>
              <w:rPr>
                <w:rFonts w:ascii="Calibri" w:hAnsi="Calibri"/>
              </w:rPr>
              <w:t>文化</w:t>
            </w:r>
          </w:p>
        </w:tc>
        <w:tc>
          <w:tcPr>
            <w:tcW w:w="6931" w:type="dxa"/>
            <w:tcBorders>
              <w:top w:val="single" w:color="auto" w:sz="6" w:space="0"/>
              <w:bottom w:val="single" w:color="auto" w:sz="12" w:space="0"/>
            </w:tcBorders>
            <w:vAlign w:val="center"/>
          </w:tcPr>
          <w:p>
            <w:pPr>
              <w:ind w:firstLine="420"/>
              <w:rPr>
                <w:rFonts w:ascii="宋体" w:hAnsi="宋体"/>
                <w:sz w:val="21"/>
                <w:szCs w:val="21"/>
              </w:rPr>
            </w:pPr>
            <w:r>
              <w:rPr>
                <w:rFonts w:hint="eastAsia" w:ascii="宋体" w:hAnsi="宋体"/>
                <w:sz w:val="21"/>
                <w:szCs w:val="21"/>
              </w:rPr>
              <w:t>本课程旨在使学生了解和掌握悠久而丰富、具有地域特色的西安文化基本概况，认识西安历史文化在辉煌灿烂的中国历史文化中的独特魅力和自己的风采，增强学生了解西安、热爱西安、建设西安的热情，激发学生学习、研究、发展西安文化的兴趣，提高学生的综合文化素质和人文素养，为培养适应地方社会经济发展的应用型高级人才打下基础。</w:t>
            </w:r>
          </w:p>
        </w:tc>
        <w:tc>
          <w:tcPr>
            <w:tcW w:w="594" w:type="dxa"/>
            <w:tcBorders>
              <w:top w:val="single" w:color="auto" w:sz="6" w:space="0"/>
              <w:bottom w:val="single" w:color="auto" w:sz="12" w:space="0"/>
              <w:right w:val="single" w:color="auto" w:sz="4"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2</w:t>
            </w:r>
          </w:p>
        </w:tc>
        <w:tc>
          <w:tcPr>
            <w:tcW w:w="697" w:type="dxa"/>
            <w:tcBorders>
              <w:top w:val="single" w:color="auto" w:sz="6" w:space="0"/>
              <w:left w:val="single" w:color="auto" w:sz="4" w:space="0"/>
              <w:bottom w:val="single" w:color="auto" w:sz="12" w:space="0"/>
              <w:right w:val="single" w:color="auto" w:sz="12" w:space="0"/>
            </w:tcBorders>
            <w:vAlign w:val="center"/>
          </w:tcPr>
          <w:p>
            <w:pPr>
              <w:ind w:firstLine="0" w:firstLineChars="0"/>
              <w:rPr>
                <w:rFonts w:ascii="宋体" w:hAnsi="宋体"/>
                <w:color w:val="000000"/>
                <w:sz w:val="21"/>
                <w:szCs w:val="21"/>
              </w:rPr>
            </w:pPr>
            <w:r>
              <w:rPr>
                <w:rFonts w:hint="eastAsia" w:ascii="宋体" w:hAnsi="宋体"/>
                <w:color w:val="000000"/>
                <w:sz w:val="21"/>
                <w:szCs w:val="21"/>
              </w:rPr>
              <w:t>36</w:t>
            </w:r>
          </w:p>
        </w:tc>
      </w:tr>
    </w:tbl>
    <w:p>
      <w:pPr>
        <w:ind w:firstLine="480"/>
        <w:rPr>
          <w:rFonts w:ascii="Calibri" w:hAnsi="Calibri"/>
          <w:color w:val="000000"/>
          <w:sz w:val="20"/>
          <w:szCs w:val="20"/>
        </w:rPr>
      </w:pPr>
      <w:r>
        <w:rPr>
          <w:rFonts w:ascii="Calibri" w:hAnsi="Calibri"/>
          <w:color w:val="000000"/>
        </w:rPr>
        <w:drawing>
          <wp:anchor distT="0" distB="0" distL="114300" distR="114300" simplePos="0" relativeHeight="251671552" behindDoc="0" locked="0" layoutInCell="1" allowOverlap="1">
            <wp:simplePos x="0" y="0"/>
            <wp:positionH relativeFrom="margin">
              <wp:align>right</wp:align>
            </wp:positionH>
            <wp:positionV relativeFrom="paragraph">
              <wp:posOffset>-8154035</wp:posOffset>
            </wp:positionV>
            <wp:extent cx="200025" cy="133350"/>
            <wp:effectExtent l="0" t="0" r="9525" b="0"/>
            <wp:wrapNone/>
            <wp:docPr id="3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00025" cy="133350"/>
                    </a:xfrm>
                    <a:prstGeom prst="rect">
                      <a:avLst/>
                    </a:prstGeom>
                  </pic:spPr>
                </pic:pic>
              </a:graphicData>
            </a:graphic>
          </wp:anchor>
        </w:drawing>
      </w:r>
      <w:r>
        <w:rPr>
          <w:rFonts w:ascii="Calibri" w:hAnsi="Calibri"/>
        </w:rPr>
        <w:drawing>
          <wp:anchor distT="0" distB="0" distL="114300" distR="114300" simplePos="0" relativeHeight="251667456" behindDoc="0" locked="0" layoutInCell="1" allowOverlap="1">
            <wp:simplePos x="0" y="0"/>
            <wp:positionH relativeFrom="column">
              <wp:posOffset>5459095</wp:posOffset>
            </wp:positionH>
            <wp:positionV relativeFrom="paragraph">
              <wp:posOffset>-8824595</wp:posOffset>
            </wp:positionV>
            <wp:extent cx="257175" cy="161925"/>
            <wp:effectExtent l="0" t="0" r="0" b="0"/>
            <wp:wrapNone/>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57175" cy="161925"/>
                    </a:xfrm>
                    <a:prstGeom prst="rect">
                      <a:avLst/>
                    </a:prstGeom>
                  </pic:spPr>
                </pic:pic>
              </a:graphicData>
            </a:graphic>
          </wp:anchor>
        </w:drawing>
      </w:r>
      <w:r>
        <w:rPr>
          <w:rFonts w:ascii="Calibri" w:hAnsi="Calibri"/>
        </w:rPr>
        <w:pict>
          <v:line id="直接连接符 4" o:spid="_x0000_s2052" o:spt="20" style="position:absolute;left:0pt;flip:y;margin-left:-12.6pt;margin-top:-1.1pt;height:0pt;width:489pt;z-index:25166643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">
            <v:path arrowok="t"/>
            <v:fill focussize="0,0"/>
            <v:stroke weight="1pt" joinstyle="miter"/>
            <v:imagedata o:title=""/>
            <o:lock v:ext="edit"/>
          </v:line>
        </w:pic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720"/>
        <w:jc w:val="center"/>
        <w:rPr>
          <w:rFonts w:ascii="黑体" w:hAnsi="黑体" w:eastAsia="黑体"/>
          <w:color w:val="00000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588" w:header="851" w:footer="680" w:gutter="0"/>
          <w:pgNumType w:fmt="decimal" w:start="1"/>
          <w:cols w:space="720" w:num="1"/>
          <w:docGrid w:type="lines" w:linePitch="326" w:charSpace="0"/>
        </w:sectPr>
      </w:pPr>
      <w:bookmarkStart w:id="34" w:name="_Toc225228457"/>
      <w:bookmarkStart w:id="35" w:name="_Toc225228390"/>
    </w:p>
    <w:p>
      <w:pPr>
        <w:ind w:firstLine="643"/>
        <w:jc w:val="center"/>
        <w:rPr>
          <w:rFonts w:ascii="黑体" w:hAnsi="宋体" w:eastAsia="黑体"/>
          <w:b/>
          <w:bCs/>
          <w:color w:val="000000"/>
          <w:sz w:val="32"/>
          <w:szCs w:val="32"/>
        </w:rPr>
        <w:sectPr>
          <w:footerReference r:id="rId11" w:type="default"/>
          <w:type w:val="continuous"/>
          <w:pgSz w:w="11906" w:h="16838"/>
          <w:pgMar w:top="1418" w:right="1134" w:bottom="1134" w:left="1588" w:header="851" w:footer="850" w:gutter="0"/>
          <w:pgNumType w:fmt="decimal"/>
          <w:cols w:space="720" w:num="1"/>
          <w:docGrid w:type="lines" w:linePitch="312" w:charSpace="0"/>
        </w:sectPr>
      </w:pPr>
    </w:p>
    <w:p>
      <w:pPr>
        <w:ind w:firstLine="0" w:firstLineChars="0"/>
        <w:jc w:val="center"/>
        <w:rPr>
          <w:rFonts w:ascii="宋体" w:hAnsi="宋体"/>
          <w:b/>
          <w:bCs/>
          <w:color w:val="000000"/>
          <w:sz w:val="32"/>
          <w:szCs w:val="32"/>
        </w:rPr>
      </w:pPr>
      <w:r>
        <w:rPr>
          <w:rFonts w:hint="eastAsia" w:ascii="宋体" w:hAnsi="宋体"/>
          <w:b/>
          <w:bCs/>
          <w:color w:val="000000"/>
          <w:sz w:val="32"/>
          <w:szCs w:val="32"/>
        </w:rPr>
        <w:t>资源</w:t>
      </w:r>
      <w:r>
        <w:rPr>
          <w:rFonts w:ascii="宋体" w:hAnsi="宋体"/>
          <w:b/>
          <w:bCs/>
          <w:color w:val="000000"/>
          <w:sz w:val="32"/>
          <w:szCs w:val="32"/>
        </w:rPr>
        <w:t>环境与安全</w:t>
      </w:r>
      <w:r>
        <w:rPr>
          <w:rFonts w:hint="eastAsia" w:ascii="宋体" w:hAnsi="宋体"/>
          <w:b/>
          <w:bCs/>
          <w:color w:val="000000"/>
          <w:sz w:val="32"/>
          <w:szCs w:val="32"/>
        </w:rPr>
        <w:t>大类安全类</w:t>
      </w:r>
    </w:p>
    <w:p>
      <w:pPr>
        <w:spacing w:afterLines="50"/>
        <w:ind w:firstLine="0" w:firstLineChars="0"/>
        <w:jc w:val="center"/>
        <w:rPr>
          <w:rFonts w:ascii="宋体" w:hAnsi="宋体"/>
          <w:b/>
          <w:bCs/>
          <w:color w:val="000000"/>
          <w:sz w:val="32"/>
          <w:szCs w:val="32"/>
        </w:rPr>
      </w:pPr>
      <w:r>
        <w:rPr>
          <w:rFonts w:hint="eastAsia" w:ascii="宋体" w:hAnsi="宋体"/>
          <w:b/>
          <w:bCs/>
          <w:color w:val="000000"/>
          <w:sz w:val="32"/>
          <w:szCs w:val="32"/>
        </w:rPr>
        <w:t>《安全</w:t>
      </w:r>
      <w:r>
        <w:rPr>
          <w:rFonts w:ascii="宋体" w:hAnsi="宋体"/>
          <w:b/>
          <w:bCs/>
          <w:color w:val="000000"/>
          <w:sz w:val="32"/>
          <w:szCs w:val="32"/>
        </w:rPr>
        <w:t>技术与管理</w:t>
      </w:r>
      <w:r>
        <w:rPr>
          <w:rFonts w:hint="eastAsia" w:ascii="宋体" w:hAnsi="宋体"/>
          <w:b/>
          <w:bCs/>
          <w:color w:val="000000"/>
          <w:sz w:val="32"/>
          <w:szCs w:val="32"/>
        </w:rPr>
        <w:t>》（专科）专业教学实施方案</w:t>
      </w:r>
      <w:bookmarkEnd w:id="34"/>
      <w:bookmarkEnd w:id="35"/>
    </w:p>
    <w:p>
      <w:pPr>
        <w:ind w:firstLine="420"/>
        <w:rPr>
          <w:rFonts w:ascii="宋体" w:hAnsi="宋体"/>
          <w:sz w:val="21"/>
          <w:szCs w:val="21"/>
        </w:rPr>
      </w:pPr>
      <w:r>
        <w:rPr>
          <w:rFonts w:hint="eastAsia" w:ascii="宋体" w:hAnsi="宋体"/>
          <w:sz w:val="21"/>
          <w:szCs w:val="21"/>
        </w:rPr>
        <w:t>为了保证国家开放大学西安分部</w:t>
      </w:r>
      <w:r>
        <w:rPr>
          <w:rFonts w:ascii="宋体" w:hAnsi="宋体"/>
          <w:sz w:val="21"/>
          <w:szCs w:val="21"/>
        </w:rPr>
        <w:t>《</w:t>
      </w:r>
      <w:r>
        <w:rPr>
          <w:rFonts w:hint="eastAsia" w:ascii="宋体" w:hAnsi="宋体"/>
          <w:sz w:val="21"/>
          <w:szCs w:val="21"/>
        </w:rPr>
        <w:t>安全技术</w:t>
      </w:r>
      <w:r>
        <w:rPr>
          <w:rFonts w:ascii="宋体" w:hAnsi="宋体"/>
          <w:sz w:val="21"/>
          <w:szCs w:val="21"/>
        </w:rPr>
        <w:t>与管理</w:t>
      </w:r>
      <w:r>
        <w:rPr>
          <w:rFonts w:hint="eastAsia" w:ascii="宋体" w:hAnsi="宋体"/>
          <w:sz w:val="21"/>
          <w:szCs w:val="21"/>
        </w:rPr>
        <w:t>》（专科）专业的教学实施，做好本专业的教学与教学管理工作，保证教学质量，实现技能型、应用型专门人才的培养目标，特制定本教学实施方案。</w:t>
      </w:r>
    </w:p>
    <w:p>
      <w:pPr>
        <w:spacing w:before="240" w:after="60"/>
        <w:ind w:firstLine="482"/>
        <w:jc w:val="left"/>
        <w:outlineLvl w:val="0"/>
        <w:rPr>
          <w:rFonts w:ascii="宋体" w:hAnsi="宋体"/>
          <w:b/>
          <w:bCs/>
        </w:rPr>
      </w:pPr>
      <w:bookmarkStart w:id="36" w:name="_Toc454304954"/>
      <w:r>
        <w:rPr>
          <w:rFonts w:hint="eastAsia" w:ascii="宋体" w:hAnsi="宋体"/>
          <w:b/>
          <w:bCs/>
        </w:rPr>
        <w:t>一</w:t>
      </w:r>
      <w:r>
        <w:rPr>
          <w:rFonts w:ascii="宋体" w:hAnsi="宋体"/>
          <w:b/>
          <w:bCs/>
        </w:rPr>
        <w:t>、</w:t>
      </w:r>
      <w:r>
        <w:rPr>
          <w:rFonts w:hint="eastAsia" w:ascii="宋体" w:hAnsi="宋体"/>
          <w:b/>
          <w:bCs/>
        </w:rPr>
        <w:t>专业教学特点</w:t>
      </w:r>
      <w:bookmarkEnd w:id="36"/>
    </w:p>
    <w:p>
      <w:pPr>
        <w:keepNext/>
        <w:keepLines/>
        <w:spacing w:beforeLines="20" w:afterLines="20"/>
        <w:ind w:firstLine="422"/>
        <w:jc w:val="left"/>
        <w:outlineLvl w:val="0"/>
        <w:rPr>
          <w:rFonts w:ascii="宋体" w:hAnsi="宋体"/>
          <w:b/>
          <w:bCs/>
          <w:kern w:val="44"/>
          <w:sz w:val="21"/>
          <w:szCs w:val="21"/>
        </w:rPr>
      </w:pPr>
      <w:bookmarkStart w:id="37" w:name="_Toc454304955"/>
      <w:r>
        <w:rPr>
          <w:rFonts w:hint="eastAsia" w:ascii="宋体" w:hAnsi="宋体"/>
          <w:b/>
          <w:bCs/>
          <w:kern w:val="44"/>
          <w:sz w:val="21"/>
          <w:szCs w:val="21"/>
        </w:rPr>
        <w:t>（</w:t>
      </w:r>
      <w:r>
        <w:rPr>
          <w:rFonts w:ascii="宋体" w:hAnsi="宋体"/>
          <w:b/>
          <w:bCs/>
          <w:kern w:val="44"/>
          <w:sz w:val="21"/>
          <w:szCs w:val="21"/>
        </w:rPr>
        <w:t>一）</w:t>
      </w:r>
      <w:r>
        <w:rPr>
          <w:rFonts w:hint="eastAsia" w:ascii="宋体" w:hAnsi="宋体"/>
          <w:b/>
          <w:bCs/>
          <w:kern w:val="44"/>
          <w:sz w:val="21"/>
          <w:szCs w:val="21"/>
        </w:rPr>
        <w:t>学生特点</w:t>
      </w:r>
      <w:bookmarkEnd w:id="37"/>
    </w:p>
    <w:p>
      <w:pPr>
        <w:ind w:firstLine="420"/>
        <w:rPr>
          <w:rFonts w:ascii="宋体" w:hAnsi="宋体"/>
          <w:sz w:val="21"/>
          <w:szCs w:val="21"/>
        </w:rPr>
      </w:pPr>
      <w:r>
        <w:rPr>
          <w:rFonts w:hint="eastAsia" w:ascii="宋体" w:hAnsi="宋体"/>
          <w:sz w:val="21"/>
          <w:szCs w:val="21"/>
        </w:rPr>
        <w:t>本专业的学生既有普通高中、职业高中、技工学校和中等专业学校毕业生，也有志于在安全技术及管理领域实现人生理想的其他行业的在职人员，主要以在职成人的业余学习为主。本专业培养面向生产、建设、管理一线，具有评价、监测与监督、预防控制与技术管理工作的高级技术应用型人才。本专业毕业生可以到矿山、建筑、石油、化工、电力、城建、民航、交通、保险和政府等部门从事安全设计、安全评价、安全监测与监督、预防控制与技术管理工作。</w:t>
      </w:r>
    </w:p>
    <w:p>
      <w:pPr>
        <w:keepNext/>
        <w:keepLines/>
        <w:spacing w:beforeLines="20" w:afterLines="20"/>
        <w:ind w:firstLine="422"/>
        <w:jc w:val="left"/>
        <w:outlineLvl w:val="0"/>
        <w:rPr>
          <w:rFonts w:ascii="宋体" w:hAnsi="宋体"/>
          <w:b/>
          <w:bCs/>
          <w:kern w:val="44"/>
          <w:sz w:val="21"/>
          <w:szCs w:val="21"/>
        </w:rPr>
      </w:pPr>
      <w:bookmarkStart w:id="38" w:name="_Toc454304956"/>
      <w:r>
        <w:rPr>
          <w:rFonts w:hint="eastAsia" w:ascii="宋体" w:hAnsi="宋体"/>
          <w:b/>
          <w:bCs/>
          <w:kern w:val="44"/>
          <w:sz w:val="21"/>
          <w:szCs w:val="21"/>
        </w:rPr>
        <w:t>（</w:t>
      </w:r>
      <w:r>
        <w:rPr>
          <w:rFonts w:ascii="宋体" w:hAnsi="宋体"/>
          <w:b/>
          <w:bCs/>
          <w:kern w:val="44"/>
          <w:sz w:val="21"/>
          <w:szCs w:val="21"/>
        </w:rPr>
        <w:t>二）</w:t>
      </w:r>
      <w:r>
        <w:rPr>
          <w:rFonts w:hint="eastAsia" w:ascii="宋体" w:hAnsi="宋体"/>
          <w:b/>
          <w:bCs/>
          <w:kern w:val="44"/>
          <w:sz w:val="21"/>
          <w:szCs w:val="21"/>
        </w:rPr>
        <w:t>课程特点</w:t>
      </w:r>
      <w:bookmarkEnd w:id="38"/>
    </w:p>
    <w:p>
      <w:pPr>
        <w:ind w:firstLine="420"/>
        <w:rPr>
          <w:rFonts w:ascii="宋体" w:hAnsi="宋体"/>
          <w:sz w:val="21"/>
          <w:szCs w:val="21"/>
        </w:rPr>
      </w:pPr>
      <w:r>
        <w:rPr>
          <w:rFonts w:hint="eastAsia" w:ascii="宋体" w:hAnsi="宋体"/>
          <w:sz w:val="21"/>
          <w:szCs w:val="21"/>
        </w:rPr>
        <w:t>本专业的主要课程按教学计划进行内容可以分为六类：</w:t>
      </w:r>
    </w:p>
    <w:p>
      <w:pPr>
        <w:spacing w:before="240" w:after="60"/>
        <w:ind w:firstLine="422"/>
        <w:jc w:val="left"/>
        <w:outlineLvl w:val="1"/>
        <w:rPr>
          <w:rFonts w:ascii="宋体" w:hAnsi="宋体"/>
          <w:b/>
          <w:bCs/>
          <w:kern w:val="28"/>
          <w:sz w:val="21"/>
          <w:szCs w:val="21"/>
        </w:rPr>
      </w:pPr>
      <w:bookmarkStart w:id="39" w:name="_Toc454304957"/>
      <w:r>
        <w:rPr>
          <w:rFonts w:ascii="宋体" w:hAnsi="宋体"/>
          <w:b/>
          <w:bCs/>
          <w:kern w:val="28"/>
          <w:sz w:val="21"/>
          <w:szCs w:val="21"/>
        </w:rPr>
        <w:t>1.公共基础课程</w:t>
      </w:r>
      <w:bookmarkEnd w:id="39"/>
    </w:p>
    <w:p>
      <w:pPr>
        <w:ind w:firstLine="420"/>
        <w:rPr>
          <w:rFonts w:ascii="宋体" w:hAnsi="宋体"/>
          <w:sz w:val="21"/>
          <w:szCs w:val="21"/>
        </w:rPr>
      </w:pPr>
      <w:r>
        <w:rPr>
          <w:rFonts w:ascii="宋体" w:hAnsi="宋体"/>
          <w:sz w:val="21"/>
          <w:szCs w:val="21"/>
        </w:rPr>
        <w:t>主要进行公共基础知识的普及，开设的课程有：《中国特色社会主义理论体系概论》、《国家开放大学学习指南》、《英语</w:t>
      </w:r>
      <w:r>
        <w:rPr>
          <w:rFonts w:hint="eastAsia" w:ascii="宋体" w:hAnsi="宋体" w:cs="宋体"/>
          <w:sz w:val="21"/>
          <w:szCs w:val="21"/>
        </w:rPr>
        <w:t>Ⅰ</w:t>
      </w:r>
      <w:r>
        <w:rPr>
          <w:rFonts w:ascii="宋体" w:hAnsi="宋体"/>
          <w:sz w:val="21"/>
          <w:szCs w:val="21"/>
        </w:rPr>
        <w:t>（1）》、《计算机文化基础》和《高等数学基础》。</w:t>
      </w:r>
    </w:p>
    <w:p>
      <w:pPr>
        <w:spacing w:before="240" w:after="60"/>
        <w:ind w:firstLine="422"/>
        <w:jc w:val="left"/>
        <w:outlineLvl w:val="1"/>
        <w:rPr>
          <w:rFonts w:ascii="宋体" w:hAnsi="宋体"/>
          <w:b/>
          <w:bCs/>
          <w:kern w:val="28"/>
          <w:sz w:val="21"/>
          <w:szCs w:val="21"/>
        </w:rPr>
      </w:pPr>
      <w:bookmarkStart w:id="40" w:name="_Toc454304958"/>
      <w:r>
        <w:rPr>
          <w:rFonts w:ascii="宋体" w:hAnsi="宋体"/>
          <w:b/>
          <w:bCs/>
          <w:kern w:val="28"/>
          <w:sz w:val="21"/>
          <w:szCs w:val="21"/>
        </w:rPr>
        <w:t>2.专业基础课程</w:t>
      </w:r>
      <w:bookmarkEnd w:id="40"/>
    </w:p>
    <w:p>
      <w:pPr>
        <w:ind w:firstLine="420"/>
        <w:rPr>
          <w:rFonts w:ascii="宋体" w:hAnsi="宋体"/>
          <w:sz w:val="21"/>
          <w:szCs w:val="21"/>
        </w:rPr>
      </w:pPr>
      <w:r>
        <w:rPr>
          <w:rFonts w:ascii="宋体" w:hAnsi="宋体"/>
          <w:sz w:val="21"/>
          <w:szCs w:val="21"/>
        </w:rPr>
        <w:t>主要涉及安全技术与管理入门的基础性知识，开设的课程有：《工程制图基础》、《安全系统工程》、《安全生产原理》、《安全原理》、《安全人机工程》、《工业通风及除尘》、《流体力学和热工学基础》、《安全管理文书写作》、《信息管理系统》等，为接下来专业实践教学工作的顺利开展提供基础和保障。</w:t>
      </w:r>
    </w:p>
    <w:p>
      <w:pPr>
        <w:spacing w:before="240" w:after="60"/>
        <w:ind w:firstLine="422"/>
        <w:jc w:val="left"/>
        <w:outlineLvl w:val="1"/>
        <w:rPr>
          <w:rFonts w:ascii="宋体" w:hAnsi="宋体"/>
          <w:b/>
          <w:bCs/>
          <w:kern w:val="28"/>
          <w:sz w:val="21"/>
          <w:szCs w:val="21"/>
        </w:rPr>
      </w:pPr>
      <w:bookmarkStart w:id="41" w:name="_Toc454304959"/>
      <w:r>
        <w:rPr>
          <w:rFonts w:ascii="宋体" w:hAnsi="宋体"/>
          <w:b/>
          <w:bCs/>
          <w:kern w:val="28"/>
          <w:sz w:val="21"/>
          <w:szCs w:val="21"/>
        </w:rPr>
        <w:t>3.</w:t>
      </w:r>
      <w:r>
        <w:rPr>
          <w:rFonts w:hint="eastAsia" w:ascii="宋体" w:hAnsi="宋体"/>
          <w:b/>
          <w:bCs/>
          <w:kern w:val="28"/>
          <w:sz w:val="21"/>
          <w:szCs w:val="21"/>
        </w:rPr>
        <w:t>专业课程</w:t>
      </w:r>
      <w:bookmarkEnd w:id="41"/>
    </w:p>
    <w:p>
      <w:pPr>
        <w:ind w:firstLine="420"/>
        <w:rPr>
          <w:rFonts w:ascii="宋体" w:hAnsi="宋体"/>
          <w:sz w:val="21"/>
          <w:szCs w:val="21"/>
        </w:rPr>
      </w:pPr>
      <w:r>
        <w:rPr>
          <w:rFonts w:hint="eastAsia" w:ascii="宋体" w:hAnsi="宋体"/>
          <w:sz w:val="21"/>
          <w:szCs w:val="21"/>
        </w:rPr>
        <w:t>主要涉及理论教学与实践性教学相结合的课程，开设的课程有：《特种设备安全》、《事故管理与应急处置》《防火防爆技术》、《电气安全技术》、《职业卫生基础》、《安全评价》、《安全监测与监控》、《安全法规》、《高危行业安全》、《工程项目管理》等。安全技术与管理专业在教学中应注意理论教学和实际相结合，要挖掘不同形式的实践内容。在宏观类的课程授课中，要求老师增加案例讲解和分析，对于微观类的课程，更是清晰明了地阐述安全技术专业工作和服务的目的、要求、技巧和要点，让学生学到第一手的安全技术与管理专业技能知识。</w:t>
      </w:r>
    </w:p>
    <w:p>
      <w:pPr>
        <w:spacing w:before="240" w:after="60"/>
        <w:ind w:firstLine="422"/>
        <w:jc w:val="left"/>
        <w:outlineLvl w:val="1"/>
        <w:rPr>
          <w:rFonts w:ascii="宋体" w:hAnsi="宋体"/>
          <w:b/>
          <w:bCs/>
          <w:kern w:val="28"/>
          <w:sz w:val="21"/>
          <w:szCs w:val="21"/>
        </w:rPr>
      </w:pPr>
      <w:bookmarkStart w:id="42" w:name="_Toc454304960"/>
      <w:r>
        <w:rPr>
          <w:rFonts w:ascii="宋体" w:hAnsi="宋体"/>
          <w:b/>
          <w:bCs/>
          <w:kern w:val="28"/>
          <w:sz w:val="21"/>
          <w:szCs w:val="21"/>
        </w:rPr>
        <w:t>4.通识课课程</w:t>
      </w:r>
      <w:bookmarkEnd w:id="42"/>
    </w:p>
    <w:p>
      <w:pPr>
        <w:ind w:firstLine="420"/>
        <w:rPr>
          <w:rFonts w:ascii="宋体" w:hAnsi="宋体"/>
          <w:sz w:val="21"/>
          <w:szCs w:val="21"/>
        </w:rPr>
      </w:pPr>
      <w:r>
        <w:rPr>
          <w:rFonts w:ascii="宋体" w:hAnsi="宋体"/>
          <w:sz w:val="21"/>
          <w:szCs w:val="21"/>
        </w:rPr>
        <w:t>主要涉及基础性知识的相关课程，使学生拓宽视野，培养独立思考与判断能力。该模块的主要专业课程有：《地域文化》、《社交礼仪》、《实用法律基础》、《实用写作》、《安全评价》、《</w:t>
      </w:r>
      <w:r>
        <w:rPr>
          <w:rFonts w:hint="eastAsia" w:ascii="宋体" w:hAnsi="宋体"/>
          <w:sz w:val="21"/>
          <w:szCs w:val="21"/>
        </w:rPr>
        <w:t>汉唐</w:t>
      </w:r>
      <w:r>
        <w:rPr>
          <w:rFonts w:ascii="宋体" w:hAnsi="宋体"/>
          <w:sz w:val="21"/>
          <w:szCs w:val="21"/>
        </w:rPr>
        <w:t>文化》等课程。</w:t>
      </w:r>
    </w:p>
    <w:p>
      <w:pPr>
        <w:spacing w:before="240" w:after="60"/>
        <w:ind w:firstLine="422"/>
        <w:jc w:val="left"/>
        <w:outlineLvl w:val="1"/>
        <w:rPr>
          <w:rFonts w:ascii="宋体" w:hAnsi="宋体"/>
          <w:b/>
          <w:bCs/>
          <w:kern w:val="28"/>
          <w:sz w:val="21"/>
          <w:szCs w:val="21"/>
        </w:rPr>
      </w:pPr>
      <w:bookmarkStart w:id="43" w:name="_Toc454304961"/>
      <w:r>
        <w:rPr>
          <w:rFonts w:ascii="宋体" w:hAnsi="宋体"/>
          <w:b/>
          <w:bCs/>
          <w:kern w:val="28"/>
          <w:sz w:val="21"/>
          <w:szCs w:val="21"/>
        </w:rPr>
        <w:t>5.综</w:t>
      </w:r>
      <w:r>
        <w:rPr>
          <w:rFonts w:hint="eastAsia" w:ascii="宋体" w:hAnsi="宋体"/>
          <w:b/>
          <w:bCs/>
          <w:kern w:val="28"/>
          <w:sz w:val="21"/>
          <w:szCs w:val="21"/>
        </w:rPr>
        <w:t>合实践课程</w:t>
      </w:r>
      <w:bookmarkEnd w:id="43"/>
    </w:p>
    <w:p>
      <w:pPr>
        <w:ind w:firstLine="420"/>
        <w:rPr>
          <w:rFonts w:ascii="宋体" w:hAnsi="宋体"/>
          <w:sz w:val="21"/>
          <w:szCs w:val="21"/>
        </w:rPr>
      </w:pPr>
      <w:r>
        <w:rPr>
          <w:rFonts w:hint="eastAsia" w:ascii="宋体" w:hAnsi="宋体"/>
          <w:sz w:val="21"/>
          <w:szCs w:val="21"/>
        </w:rPr>
        <w:t>为使学生适应社会需要，必须通过实践性教学使理论与实际相结合，开设的课程有：《毕业实践》、《工业通风除尘课程设计》、《防火防爆课程设计》、《安全评价课程设计》、《职业卫生及工业通风类实验》，使学生掌握该专业的实际技能，为将来实际从事相关岗位工作打好基础。</w:t>
      </w:r>
    </w:p>
    <w:p>
      <w:pPr>
        <w:spacing w:before="240" w:after="60"/>
        <w:ind w:firstLine="422"/>
        <w:jc w:val="left"/>
        <w:outlineLvl w:val="1"/>
        <w:rPr>
          <w:rFonts w:ascii="宋体" w:hAnsi="宋体"/>
          <w:b/>
          <w:bCs/>
          <w:kern w:val="28"/>
          <w:sz w:val="21"/>
          <w:szCs w:val="21"/>
        </w:rPr>
      </w:pPr>
      <w:bookmarkStart w:id="44" w:name="_Toc454304962"/>
      <w:r>
        <w:rPr>
          <w:rFonts w:ascii="宋体" w:hAnsi="宋体"/>
          <w:b/>
          <w:bCs/>
          <w:kern w:val="28"/>
          <w:sz w:val="21"/>
          <w:szCs w:val="21"/>
        </w:rPr>
        <w:t>6.</w:t>
      </w:r>
      <w:r>
        <w:rPr>
          <w:rFonts w:hint="eastAsia" w:ascii="宋体" w:hAnsi="宋体"/>
          <w:b/>
          <w:bCs/>
          <w:kern w:val="28"/>
          <w:sz w:val="21"/>
          <w:szCs w:val="21"/>
        </w:rPr>
        <w:t>特色课程</w:t>
      </w:r>
      <w:bookmarkEnd w:id="44"/>
    </w:p>
    <w:p>
      <w:pPr>
        <w:ind w:firstLine="420"/>
        <w:rPr>
          <w:rFonts w:ascii="宋体" w:hAnsi="宋体"/>
          <w:sz w:val="21"/>
          <w:szCs w:val="21"/>
        </w:rPr>
      </w:pPr>
      <w:r>
        <w:rPr>
          <w:rFonts w:hint="eastAsia" w:ascii="宋体" w:hAnsi="宋体"/>
          <w:sz w:val="21"/>
          <w:szCs w:val="21"/>
        </w:rPr>
        <w:t>为了培养适应安全技术与管理专业工作及相关行业岗位需求人才，结合行业特点，设计本专业的拓展课程，开设的课程有：《消防安全》、《建筑施工安全》、《安全工程师培训课程》等，通过上述课程学习相关岗位的工作特点、基本流程和技术要求，培养学生专业技术能力。</w:t>
      </w:r>
    </w:p>
    <w:p>
      <w:pPr>
        <w:keepNext/>
        <w:keepLines/>
        <w:spacing w:beforeLines="20" w:afterLines="20"/>
        <w:ind w:firstLine="422"/>
        <w:jc w:val="left"/>
        <w:outlineLvl w:val="0"/>
        <w:rPr>
          <w:rFonts w:ascii="宋体" w:hAnsi="宋体"/>
          <w:b/>
          <w:bCs/>
          <w:kern w:val="44"/>
          <w:sz w:val="21"/>
          <w:szCs w:val="21"/>
        </w:rPr>
      </w:pPr>
      <w:bookmarkStart w:id="45" w:name="_Toc454304963"/>
      <w:r>
        <w:rPr>
          <w:rFonts w:hint="eastAsia" w:ascii="宋体" w:hAnsi="宋体"/>
          <w:b/>
          <w:bCs/>
          <w:kern w:val="44"/>
          <w:sz w:val="21"/>
          <w:szCs w:val="21"/>
        </w:rPr>
        <w:t>（</w:t>
      </w:r>
      <w:r>
        <w:rPr>
          <w:rFonts w:ascii="宋体" w:hAnsi="宋体"/>
          <w:b/>
          <w:bCs/>
          <w:kern w:val="44"/>
          <w:sz w:val="21"/>
          <w:szCs w:val="21"/>
        </w:rPr>
        <w:t>三）</w:t>
      </w:r>
      <w:r>
        <w:rPr>
          <w:rFonts w:hint="eastAsia" w:ascii="宋体" w:hAnsi="宋体"/>
          <w:b/>
          <w:bCs/>
          <w:kern w:val="44"/>
          <w:sz w:val="21"/>
          <w:szCs w:val="21"/>
        </w:rPr>
        <w:t>专业综合能力方面</w:t>
      </w:r>
      <w:bookmarkEnd w:id="45"/>
    </w:p>
    <w:p>
      <w:pPr>
        <w:ind w:firstLine="420"/>
        <w:rPr>
          <w:rFonts w:ascii="宋体" w:hAnsi="宋体"/>
          <w:sz w:val="21"/>
          <w:szCs w:val="21"/>
        </w:rPr>
      </w:pPr>
      <w:r>
        <w:rPr>
          <w:rFonts w:hint="eastAsia" w:ascii="宋体" w:hAnsi="宋体"/>
          <w:sz w:val="21"/>
          <w:szCs w:val="21"/>
        </w:rPr>
        <w:t>通过本专业课程的学习，使学生具备基本的专业知识与技能：分析问题、解决问题的能力；知识更新的能力；计算机应用基本能力；团队协作精神与社会活动能力。具备安全生产法律法规，国家标准、行业标准的相关知识；工程识图与绘图能力；现场安全急救与护理；简单电工作业与电气隐患排查；危险有害物质检测与监控；系统安全分析与隐患排查；安全宣传教育的组织实施；企业安全管理体系建立与运行等方面的知识能</w:t>
      </w:r>
      <w:r>
        <w:rPr>
          <w:rFonts w:ascii="宋体" w:hAnsi="宋体"/>
          <w:sz w:val="21"/>
          <w:szCs w:val="21"/>
        </w:rPr>
        <w:t>力。</w:t>
      </w:r>
    </w:p>
    <w:p>
      <w:pPr>
        <w:spacing w:before="240" w:after="60"/>
        <w:ind w:firstLine="482"/>
        <w:jc w:val="left"/>
        <w:outlineLvl w:val="0"/>
        <w:rPr>
          <w:rFonts w:ascii="宋体" w:hAnsi="宋体"/>
          <w:b/>
          <w:bCs/>
        </w:rPr>
      </w:pPr>
      <w:bookmarkStart w:id="46" w:name="_Toc454304964"/>
      <w:r>
        <w:rPr>
          <w:rFonts w:hint="eastAsia" w:ascii="宋体" w:hAnsi="宋体"/>
          <w:b/>
          <w:bCs/>
        </w:rPr>
        <w:t>二、专业教学准备</w:t>
      </w:r>
      <w:bookmarkEnd w:id="46"/>
    </w:p>
    <w:p>
      <w:pPr>
        <w:keepNext/>
        <w:keepLines/>
        <w:spacing w:beforeLines="20" w:afterLines="20"/>
        <w:ind w:firstLine="422"/>
        <w:jc w:val="left"/>
        <w:outlineLvl w:val="0"/>
        <w:rPr>
          <w:rFonts w:ascii="宋体" w:hAnsi="宋体"/>
          <w:b/>
          <w:bCs/>
          <w:kern w:val="44"/>
          <w:sz w:val="21"/>
          <w:szCs w:val="21"/>
        </w:rPr>
      </w:pPr>
      <w:bookmarkStart w:id="47" w:name="_Toc454304965"/>
      <w:r>
        <w:rPr>
          <w:rFonts w:hint="eastAsia" w:ascii="宋体" w:hAnsi="宋体"/>
          <w:b/>
          <w:bCs/>
          <w:kern w:val="44"/>
          <w:sz w:val="21"/>
          <w:szCs w:val="21"/>
        </w:rPr>
        <w:t>（</w:t>
      </w:r>
      <w:r>
        <w:rPr>
          <w:rFonts w:ascii="宋体" w:hAnsi="宋体"/>
          <w:b/>
          <w:bCs/>
          <w:kern w:val="44"/>
          <w:sz w:val="21"/>
          <w:szCs w:val="21"/>
        </w:rPr>
        <w:t>一）</w:t>
      </w:r>
      <w:r>
        <w:rPr>
          <w:rFonts w:hint="eastAsia" w:ascii="宋体" w:hAnsi="宋体"/>
          <w:b/>
          <w:bCs/>
          <w:kern w:val="44"/>
          <w:sz w:val="21"/>
          <w:szCs w:val="21"/>
        </w:rPr>
        <w:t>条件准备</w:t>
      </w:r>
      <w:bookmarkEnd w:id="47"/>
    </w:p>
    <w:p>
      <w:pPr>
        <w:spacing w:before="240" w:after="60"/>
        <w:ind w:firstLine="422"/>
        <w:jc w:val="left"/>
        <w:outlineLvl w:val="1"/>
        <w:rPr>
          <w:rFonts w:ascii="宋体" w:hAnsi="宋体"/>
          <w:b/>
          <w:bCs/>
          <w:kern w:val="28"/>
          <w:sz w:val="21"/>
          <w:szCs w:val="21"/>
        </w:rPr>
      </w:pPr>
      <w:bookmarkStart w:id="48" w:name="_Toc454304966"/>
      <w:r>
        <w:rPr>
          <w:rFonts w:ascii="宋体" w:hAnsi="宋体"/>
          <w:b/>
          <w:bCs/>
          <w:kern w:val="28"/>
          <w:sz w:val="21"/>
          <w:szCs w:val="21"/>
        </w:rPr>
        <w:t>1.</w:t>
      </w:r>
      <w:r>
        <w:rPr>
          <w:rFonts w:hint="eastAsia" w:ascii="宋体" w:hAnsi="宋体"/>
          <w:b/>
          <w:bCs/>
          <w:kern w:val="28"/>
          <w:sz w:val="21"/>
          <w:szCs w:val="21"/>
        </w:rPr>
        <w:t>师资</w:t>
      </w:r>
      <w:bookmarkEnd w:id="48"/>
    </w:p>
    <w:p>
      <w:pPr>
        <w:ind w:firstLine="420"/>
        <w:rPr>
          <w:rFonts w:ascii="宋体" w:hAnsi="宋体"/>
          <w:sz w:val="21"/>
          <w:szCs w:val="21"/>
        </w:rPr>
      </w:pPr>
      <w:r>
        <w:rPr>
          <w:rFonts w:hint="eastAsia" w:ascii="宋体" w:hAnsi="宋体"/>
          <w:sz w:val="21"/>
          <w:szCs w:val="21"/>
        </w:rPr>
        <w:t>（1）国家开放大学西安分部</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宋体" w:hAnsi="宋体"/>
          <w:sz w:val="21"/>
          <w:szCs w:val="21"/>
        </w:rPr>
        <w:t>国家开放大学西安分部组建了双师型课程建设团队，由学科专家、行业中具有丰富实践经验和较</w:t>
      </w:r>
      <w:r>
        <w:rPr>
          <w:rFonts w:hint="eastAsia" w:asciiTheme="minorEastAsia" w:hAnsiTheme="minorEastAsia" w:eastAsiaTheme="minorEastAsia"/>
          <w:sz w:val="21"/>
          <w:szCs w:val="21"/>
        </w:rPr>
        <w:t>高理论素养的专家（教材主编、课程主讲）、专职教师（包括主持教师、教学管理人员、辅导教师）、教育技术人员等组成，开展一流的基于网络的课程学习资源建设，以确保课程教学资源的质量与水平。</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配备1名专业负责人，每门统设课程至少配备1名课程责任教师，每门省开课程应配备主讲教师和至少1名课程主持教师。至少应有2名以上同类专业毕业或从事3年以上同类专业教学的专职教师从事教学工作。</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专业负责人均具有本学科或相关学科高级专业技术职务、硕士以上（含）学位，原则上应具有5年以上安全技术行业从业经验及3年以上高校（科研机构）工作经历。</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（2）学习中心</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习中心按照国家开放大学西安分部兼职教师聘任办法，聘请思想觉悟高、业务水平精的生产一线的工程技术人员担任兼职教师，并组织兼职教师的远程教育理论与方法培训，积极探索双师型课程教学团队的建设模式和运行机制。</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专（兼）职教师根据课程教学大纲和设计方案，利用多种媒体教学资源，进行教学辅导，指导学习者参加学习小组、实践调研活动，及时批阅学习者平时作业，提供学习者个别辅导。</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学习中心至少应有1名以上同类专业毕业或从事2年以上同类专业教学的专职教师从事教学工作。</w:t>
      </w:r>
    </w:p>
    <w:p>
      <w:pPr>
        <w:spacing w:before="240" w:after="60"/>
        <w:ind w:firstLine="422"/>
        <w:jc w:val="left"/>
        <w:outlineLvl w:val="1"/>
        <w:rPr>
          <w:rFonts w:ascii="宋体" w:hAnsi="宋体"/>
          <w:b/>
          <w:bCs/>
          <w:kern w:val="28"/>
          <w:sz w:val="21"/>
          <w:szCs w:val="21"/>
        </w:rPr>
      </w:pPr>
      <w:bookmarkStart w:id="49" w:name="_Toc454304967"/>
      <w:r>
        <w:rPr>
          <w:rFonts w:ascii="宋体" w:hAnsi="宋体"/>
          <w:b/>
          <w:bCs/>
          <w:kern w:val="28"/>
          <w:sz w:val="21"/>
          <w:szCs w:val="21"/>
        </w:rPr>
        <w:t>2.</w:t>
      </w:r>
      <w:r>
        <w:rPr>
          <w:rFonts w:hint="eastAsia" w:ascii="宋体" w:hAnsi="宋体"/>
          <w:b/>
          <w:bCs/>
          <w:kern w:val="28"/>
          <w:sz w:val="21"/>
          <w:szCs w:val="21"/>
        </w:rPr>
        <w:t>实验</w:t>
      </w:r>
      <w:r>
        <w:rPr>
          <w:rFonts w:ascii="宋体" w:hAnsi="宋体"/>
          <w:b/>
          <w:bCs/>
          <w:kern w:val="28"/>
          <w:sz w:val="21"/>
          <w:szCs w:val="21"/>
        </w:rPr>
        <w:t>、</w:t>
      </w:r>
      <w:r>
        <w:rPr>
          <w:rFonts w:hint="eastAsia" w:ascii="宋体" w:hAnsi="宋体"/>
          <w:b/>
          <w:bCs/>
          <w:kern w:val="28"/>
          <w:sz w:val="21"/>
          <w:szCs w:val="21"/>
        </w:rPr>
        <w:t>实训条件</w:t>
      </w:r>
      <w:bookmarkEnd w:id="49"/>
    </w:p>
    <w:p>
      <w:pPr>
        <w:ind w:firstLine="420"/>
        <w:rPr>
          <w:rFonts w:ascii="宋体" w:hAnsi="宋体"/>
          <w:sz w:val="21"/>
          <w:szCs w:val="21"/>
        </w:rPr>
      </w:pPr>
      <w:r>
        <w:rPr>
          <w:rFonts w:hint="eastAsia" w:ascii="宋体" w:hAnsi="宋体"/>
          <w:sz w:val="21"/>
          <w:szCs w:val="21"/>
        </w:rPr>
        <w:t>包括至少1名接受过专业培训的实训教师，能承担课程实践和综合实践等技能实训的课程教学任务。</w:t>
      </w:r>
    </w:p>
    <w:p>
      <w:pPr>
        <w:ind w:firstLine="420"/>
        <w:rPr>
          <w:rFonts w:ascii="宋体" w:hAnsi="宋体"/>
          <w:sz w:val="21"/>
          <w:szCs w:val="21"/>
        </w:rPr>
      </w:pPr>
      <w:r>
        <w:rPr>
          <w:rFonts w:hint="eastAsia" w:ascii="宋体" w:hAnsi="宋体"/>
          <w:sz w:val="21"/>
          <w:szCs w:val="21"/>
        </w:rPr>
        <w:t>办学单位除应具有自学辅导教室（集中辅导答疑）、多媒体教室（课件演示）、机房、实验室外，应充分利用社会办学资源，设立相对稳定的教学实训基地或场所。本专业开展实践环节的设备应按照本实施方案中关于本专业实验、实训的具体要求配备。</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凡不具备实训基地或场所的办学单位可参照以下方案切实创造开展实践教学的条件：</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（1）可借助普通高校、高职院校以及企业培训中心的实训场地开展实践性教学。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可借助合作单位（企业培训中心或职业院校）设立的劳动部职业技能鉴定所（中心）。这些职业技能鉴定所（中心）不仅具备实训的硬件条件，而且按照劳动部相关规定，均已形成职业资格培训和考核的规范化管理。因此可以与其合作开展实践教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（3）各办学机构应根据本专业开展实践性教学的实际需要，务实开设实验、实训场所，不必拘泥于形式。实验实训设备的数量应视办学规格而定。</w:t>
      </w:r>
    </w:p>
    <w:p>
      <w:pPr>
        <w:spacing w:before="240" w:after="60"/>
        <w:ind w:firstLine="422"/>
        <w:jc w:val="left"/>
        <w:outlineLvl w:val="1"/>
        <w:rPr>
          <w:rFonts w:ascii="宋体" w:hAnsi="宋体"/>
          <w:b/>
          <w:bCs/>
          <w:kern w:val="28"/>
          <w:sz w:val="21"/>
          <w:szCs w:val="21"/>
        </w:rPr>
      </w:pPr>
      <w:bookmarkStart w:id="50" w:name="_Toc454304968"/>
    </w:p>
    <w:p>
      <w:pPr>
        <w:spacing w:before="240" w:after="60"/>
        <w:ind w:firstLine="422"/>
        <w:jc w:val="left"/>
        <w:outlineLvl w:val="1"/>
        <w:rPr>
          <w:rFonts w:ascii="宋体" w:hAnsi="宋体"/>
          <w:b/>
          <w:bCs/>
          <w:kern w:val="28"/>
          <w:sz w:val="21"/>
          <w:szCs w:val="21"/>
        </w:rPr>
      </w:pPr>
      <w:r>
        <w:rPr>
          <w:rFonts w:ascii="宋体" w:hAnsi="宋体"/>
          <w:b/>
          <w:bCs/>
          <w:kern w:val="28"/>
          <w:sz w:val="21"/>
          <w:szCs w:val="21"/>
        </w:rPr>
        <w:t>3.</w:t>
      </w:r>
      <w:r>
        <w:rPr>
          <w:rFonts w:hint="eastAsia" w:ascii="宋体" w:hAnsi="宋体"/>
          <w:b/>
          <w:bCs/>
          <w:kern w:val="28"/>
          <w:sz w:val="21"/>
          <w:szCs w:val="21"/>
        </w:rPr>
        <w:t>教学基本条件</w:t>
      </w:r>
      <w:bookmarkEnd w:id="50"/>
    </w:p>
    <w:p>
      <w:pPr>
        <w:ind w:firstLine="420"/>
        <w:rPr>
          <w:rFonts w:ascii="宋体" w:hAnsi="宋体"/>
          <w:sz w:val="21"/>
          <w:szCs w:val="21"/>
        </w:rPr>
      </w:pPr>
      <w:r>
        <w:rPr>
          <w:rFonts w:hint="eastAsia" w:ascii="宋体" w:hAnsi="宋体"/>
          <w:sz w:val="21"/>
          <w:szCs w:val="21"/>
        </w:rPr>
        <w:t>国家开放大学西安分部和学习中心应配备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国家开放大学的要求配备教务管理软件、全套教学资源，并与国家开放大学及其分部、学习中心之间保持畅通的信息沟通。</w:t>
      </w:r>
    </w:p>
    <w:p>
      <w:pPr>
        <w:keepNext/>
        <w:keepLines/>
        <w:spacing w:beforeLines="20" w:afterLines="20"/>
        <w:ind w:firstLine="422"/>
        <w:jc w:val="left"/>
        <w:outlineLvl w:val="0"/>
        <w:rPr>
          <w:rFonts w:ascii="宋体" w:hAnsi="宋体"/>
          <w:b/>
          <w:bCs/>
          <w:kern w:val="44"/>
          <w:sz w:val="21"/>
          <w:szCs w:val="21"/>
        </w:rPr>
      </w:pPr>
      <w:bookmarkStart w:id="51" w:name="_Toc454304969"/>
      <w:r>
        <w:rPr>
          <w:rFonts w:hint="eastAsia" w:ascii="宋体" w:hAnsi="宋体"/>
          <w:b/>
          <w:bCs/>
          <w:kern w:val="44"/>
          <w:sz w:val="21"/>
          <w:szCs w:val="21"/>
        </w:rPr>
        <w:t>（</w:t>
      </w:r>
      <w:r>
        <w:rPr>
          <w:rFonts w:ascii="宋体" w:hAnsi="宋体"/>
          <w:b/>
          <w:bCs/>
          <w:kern w:val="44"/>
          <w:sz w:val="21"/>
          <w:szCs w:val="21"/>
        </w:rPr>
        <w:t>二）</w:t>
      </w:r>
      <w:r>
        <w:rPr>
          <w:rFonts w:hint="eastAsia" w:ascii="宋体" w:hAnsi="宋体"/>
          <w:b/>
          <w:bCs/>
          <w:kern w:val="44"/>
          <w:sz w:val="21"/>
          <w:szCs w:val="21"/>
        </w:rPr>
        <w:t>教学文件准备</w:t>
      </w:r>
      <w:bookmarkEnd w:id="51"/>
    </w:p>
    <w:p>
      <w:pPr>
        <w:spacing w:before="240" w:after="60"/>
        <w:ind w:firstLine="422"/>
        <w:jc w:val="left"/>
        <w:outlineLvl w:val="1"/>
        <w:rPr>
          <w:rFonts w:ascii="宋体" w:hAnsi="宋体"/>
          <w:b/>
          <w:bCs/>
          <w:kern w:val="28"/>
          <w:sz w:val="21"/>
          <w:szCs w:val="21"/>
        </w:rPr>
      </w:pPr>
      <w:bookmarkStart w:id="52" w:name="_Toc454304970"/>
      <w:r>
        <w:rPr>
          <w:rFonts w:ascii="宋体" w:hAnsi="宋体"/>
          <w:b/>
          <w:bCs/>
          <w:kern w:val="28"/>
          <w:sz w:val="21"/>
          <w:szCs w:val="21"/>
        </w:rPr>
        <w:t>1.</w:t>
      </w:r>
      <w:r>
        <w:rPr>
          <w:rFonts w:hint="eastAsia" w:ascii="宋体" w:hAnsi="宋体"/>
          <w:b/>
          <w:bCs/>
          <w:kern w:val="28"/>
          <w:sz w:val="21"/>
          <w:szCs w:val="21"/>
        </w:rPr>
        <w:t>实施性专业培养方案的制定</w:t>
      </w:r>
      <w:bookmarkEnd w:id="5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实施性专业培养方案是国家开放大学西安分部根据国家开放大学专业培养方案、结合地方经济社会发展和本地区学生的需要制订的实施性教学文件。实施性专业培养方案包括实施性专业规则和专业教学实施细则。</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实施性专业规则的内容结构与国家开放大学编制的专业规则相同，实施性专业规则的统设/必修课程与国家开放大学专业培养方案保持一致，非统设课程/选修可在国家开放大学专业规则的基础上进行适当调整。</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（2）专业教学实施细则内容包括专业师资、教学设施、入学教育安排、课程教学和综合实践教学的具体安排，教学支持服务的具体安排，教学检查与评价的安排等。</w:t>
      </w:r>
    </w:p>
    <w:p>
      <w:pPr>
        <w:spacing w:before="240" w:after="60"/>
        <w:ind w:firstLine="422"/>
        <w:jc w:val="left"/>
        <w:outlineLvl w:val="1"/>
        <w:rPr>
          <w:rFonts w:ascii="宋体" w:hAnsi="宋体"/>
          <w:b/>
          <w:bCs/>
          <w:kern w:val="28"/>
          <w:sz w:val="21"/>
          <w:szCs w:val="21"/>
        </w:rPr>
      </w:pPr>
      <w:bookmarkStart w:id="53" w:name="_Toc454304971"/>
      <w:r>
        <w:rPr>
          <w:rFonts w:ascii="宋体" w:hAnsi="宋体"/>
          <w:b/>
          <w:bCs/>
          <w:kern w:val="28"/>
          <w:sz w:val="21"/>
          <w:szCs w:val="21"/>
        </w:rPr>
        <w:t>2.课</w:t>
      </w:r>
      <w:r>
        <w:rPr>
          <w:rFonts w:hint="eastAsia" w:ascii="宋体" w:hAnsi="宋体"/>
          <w:b/>
          <w:bCs/>
          <w:kern w:val="28"/>
          <w:sz w:val="21"/>
          <w:szCs w:val="21"/>
        </w:rPr>
        <w:t>程教学大纲的制定</w:t>
      </w:r>
      <w:bookmarkEnd w:id="53"/>
    </w:p>
    <w:p>
      <w:pPr>
        <w:ind w:firstLine="420"/>
        <w:rPr>
          <w:rFonts w:ascii="宋体" w:hAnsi="宋体"/>
          <w:sz w:val="21"/>
          <w:szCs w:val="21"/>
        </w:rPr>
      </w:pPr>
      <w:r>
        <w:rPr>
          <w:rFonts w:hint="eastAsia" w:ascii="宋体" w:hAnsi="宋体"/>
          <w:sz w:val="21"/>
          <w:szCs w:val="21"/>
        </w:rPr>
        <w:t>教学大纲是进行课程教学、考核和教学质量评估的指导性文件，也是编写（制）教材和其他多种媒体教学资源的依据。课程教学大纲包括大纲说明、媒体使用和教学过程建议、教学内容和教学要求等三个部分。</w:t>
      </w:r>
    </w:p>
    <w:p>
      <w:pPr>
        <w:ind w:firstLine="420"/>
        <w:rPr>
          <w:rFonts w:ascii="宋体" w:hAnsi="宋体"/>
          <w:sz w:val="21"/>
          <w:szCs w:val="21"/>
        </w:rPr>
      </w:pPr>
      <w:r>
        <w:rPr>
          <w:rFonts w:hint="eastAsia" w:ascii="宋体" w:hAnsi="宋体"/>
          <w:sz w:val="21"/>
          <w:szCs w:val="21"/>
        </w:rPr>
        <w:t>统设课程的教学大纲由国家开放大学教务处组织教学部门制定，非统设课程的教学大纲由国家开放大学西安分部教务处组织教学部门制定。</w:t>
      </w:r>
    </w:p>
    <w:p>
      <w:pPr>
        <w:spacing w:before="240" w:after="60"/>
        <w:ind w:firstLine="422"/>
        <w:jc w:val="left"/>
        <w:outlineLvl w:val="1"/>
        <w:rPr>
          <w:rFonts w:ascii="宋体" w:hAnsi="宋体"/>
          <w:b/>
          <w:bCs/>
          <w:kern w:val="28"/>
          <w:sz w:val="21"/>
          <w:szCs w:val="21"/>
        </w:rPr>
      </w:pPr>
      <w:bookmarkStart w:id="54" w:name="_Toc454304972"/>
      <w:r>
        <w:rPr>
          <w:rFonts w:ascii="宋体" w:hAnsi="宋体"/>
          <w:b/>
          <w:bCs/>
          <w:kern w:val="28"/>
          <w:sz w:val="21"/>
          <w:szCs w:val="21"/>
        </w:rPr>
        <w:t>3.</w:t>
      </w:r>
      <w:r>
        <w:rPr>
          <w:rFonts w:hint="eastAsia" w:ascii="宋体" w:hAnsi="宋体"/>
          <w:b/>
          <w:bCs/>
          <w:kern w:val="28"/>
          <w:sz w:val="21"/>
          <w:szCs w:val="21"/>
        </w:rPr>
        <w:t>课程教学实施细则（方案）</w:t>
      </w:r>
      <w:bookmarkEnd w:id="5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课程教学实施细则包括统设课程（含统设必修课程、统设选修课程）教学实施细则（方案）和非统设课程教学实施细则（方案），前者是依据统设课程教学设计方案制定的实施性教学文件。</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统设课程和非统设课程的教学实施细则（方案）均由国家开放大学西安分部教学部门负责制定，由国家开放大学西安分部教务处统一发布。</w:t>
      </w:r>
    </w:p>
    <w:p>
      <w:pPr>
        <w:spacing w:before="240" w:after="60"/>
        <w:ind w:firstLine="422"/>
        <w:jc w:val="left"/>
        <w:outlineLvl w:val="1"/>
        <w:rPr>
          <w:rFonts w:ascii="宋体" w:hAnsi="宋体"/>
          <w:b/>
          <w:bCs/>
          <w:kern w:val="28"/>
          <w:sz w:val="21"/>
          <w:szCs w:val="21"/>
        </w:rPr>
      </w:pPr>
      <w:bookmarkStart w:id="55" w:name="_Toc454304973"/>
      <w:r>
        <w:rPr>
          <w:rFonts w:ascii="宋体" w:hAnsi="宋体"/>
          <w:b/>
          <w:bCs/>
          <w:kern w:val="28"/>
          <w:sz w:val="21"/>
          <w:szCs w:val="21"/>
        </w:rPr>
        <w:t>4.课</w:t>
      </w:r>
      <w:r>
        <w:rPr>
          <w:rFonts w:hint="eastAsia" w:ascii="宋体" w:hAnsi="宋体"/>
          <w:b/>
          <w:bCs/>
          <w:kern w:val="28"/>
          <w:sz w:val="21"/>
          <w:szCs w:val="21"/>
        </w:rPr>
        <w:t>程考核说明</w:t>
      </w:r>
      <w:bookmarkEnd w:id="5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和国家开放大学西安分部教学部门编制。</w:t>
      </w:r>
    </w:p>
    <w:p>
      <w:pPr>
        <w:keepNext/>
        <w:keepLines/>
        <w:spacing w:beforeLines="20" w:afterLines="20"/>
        <w:ind w:firstLine="422"/>
        <w:jc w:val="left"/>
        <w:outlineLvl w:val="0"/>
        <w:rPr>
          <w:rFonts w:ascii="宋体" w:hAnsi="宋体"/>
          <w:b/>
          <w:bCs/>
          <w:kern w:val="44"/>
          <w:sz w:val="21"/>
          <w:szCs w:val="21"/>
        </w:rPr>
      </w:pPr>
      <w:bookmarkStart w:id="56" w:name="_Toc454304974"/>
      <w:r>
        <w:rPr>
          <w:rFonts w:hint="eastAsia" w:ascii="宋体" w:hAnsi="宋体"/>
          <w:b/>
          <w:bCs/>
          <w:kern w:val="44"/>
          <w:sz w:val="21"/>
          <w:szCs w:val="21"/>
        </w:rPr>
        <w:t>（</w:t>
      </w:r>
      <w:r>
        <w:rPr>
          <w:rFonts w:ascii="宋体" w:hAnsi="宋体"/>
          <w:b/>
          <w:bCs/>
          <w:kern w:val="44"/>
          <w:sz w:val="21"/>
          <w:szCs w:val="21"/>
        </w:rPr>
        <w:t>三）</w:t>
      </w:r>
      <w:r>
        <w:rPr>
          <w:rFonts w:hint="eastAsia" w:ascii="宋体" w:hAnsi="宋体"/>
          <w:b/>
          <w:bCs/>
          <w:kern w:val="44"/>
          <w:sz w:val="21"/>
          <w:szCs w:val="21"/>
        </w:rPr>
        <w:t>教学资源准备</w:t>
      </w:r>
      <w:bookmarkEnd w:id="56"/>
    </w:p>
    <w:p>
      <w:pPr>
        <w:spacing w:before="240" w:after="60"/>
        <w:ind w:firstLine="422"/>
        <w:jc w:val="left"/>
        <w:outlineLvl w:val="1"/>
        <w:rPr>
          <w:rFonts w:ascii="宋体" w:hAnsi="宋体"/>
          <w:b/>
          <w:bCs/>
          <w:kern w:val="28"/>
          <w:sz w:val="21"/>
          <w:szCs w:val="21"/>
        </w:rPr>
      </w:pPr>
      <w:bookmarkStart w:id="57" w:name="_Toc454304975"/>
      <w:r>
        <w:rPr>
          <w:rFonts w:ascii="宋体" w:hAnsi="宋体"/>
          <w:b/>
          <w:bCs/>
          <w:kern w:val="28"/>
          <w:sz w:val="21"/>
          <w:szCs w:val="21"/>
        </w:rPr>
        <w:t>1.统设课程</w:t>
      </w:r>
      <w:bookmarkEnd w:id="57"/>
    </w:p>
    <w:p>
      <w:pPr>
        <w:ind w:firstLine="420"/>
        <w:rPr>
          <w:rFonts w:ascii="宋体" w:hAnsi="宋体"/>
          <w:sz w:val="21"/>
          <w:szCs w:val="21"/>
        </w:rPr>
      </w:pPr>
      <w:r>
        <w:rPr>
          <w:rFonts w:ascii="宋体" w:hAnsi="宋体"/>
          <w:sz w:val="21"/>
          <w:szCs w:val="21"/>
        </w:rPr>
        <w:t>统设课程教学资源的建设，根据国家开放大学教学资源建设规划，选聘安全技术行业和普通高校专家担任课程主讲、主编，建设统设必修课的多种媒体教学资源，主要包括文字教材、音像教材、网上资源和网络课程等资源。</w:t>
      </w:r>
    </w:p>
    <w:p>
      <w:pPr>
        <w:spacing w:before="240" w:after="60"/>
        <w:ind w:firstLine="422"/>
        <w:jc w:val="left"/>
        <w:outlineLvl w:val="1"/>
        <w:rPr>
          <w:rFonts w:ascii="宋体" w:hAnsi="宋体"/>
          <w:b/>
          <w:bCs/>
          <w:kern w:val="28"/>
          <w:sz w:val="21"/>
          <w:szCs w:val="21"/>
        </w:rPr>
      </w:pPr>
      <w:bookmarkStart w:id="58" w:name="_Toc454304976"/>
      <w:r>
        <w:rPr>
          <w:rFonts w:ascii="宋体" w:hAnsi="宋体"/>
          <w:b/>
          <w:bCs/>
          <w:kern w:val="28"/>
          <w:sz w:val="21"/>
          <w:szCs w:val="21"/>
        </w:rPr>
        <w:t>2.</w:t>
      </w:r>
      <w:r>
        <w:rPr>
          <w:rFonts w:hint="eastAsia" w:ascii="宋体" w:hAnsi="宋体"/>
          <w:b/>
          <w:bCs/>
          <w:kern w:val="28"/>
          <w:sz w:val="21"/>
          <w:szCs w:val="21"/>
        </w:rPr>
        <w:t>非统设课程</w:t>
      </w:r>
      <w:bookmarkEnd w:id="58"/>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非统设课程教学资源的建设（包括文字教材、网上教学资源以及其它教学课件），将根据国家开放大学西安分部的相关规定采取“共建、共享”的方式，依据远程开放教育特点，选聘有关专家，运用现代教育技术理论进行多种媒体教材一体化整体设计，组织教材建设，优化媒体组合，提升教学效果。</w:t>
      </w:r>
    </w:p>
    <w:p>
      <w:pPr>
        <w:keepNext/>
        <w:keepLines/>
        <w:spacing w:beforeLines="20" w:afterLines="20"/>
        <w:ind w:firstLine="422"/>
        <w:jc w:val="left"/>
        <w:outlineLvl w:val="0"/>
        <w:rPr>
          <w:rFonts w:ascii="宋体" w:hAnsi="宋体"/>
          <w:b/>
          <w:bCs/>
          <w:kern w:val="44"/>
          <w:sz w:val="21"/>
          <w:szCs w:val="21"/>
        </w:rPr>
      </w:pPr>
      <w:bookmarkStart w:id="59" w:name="_Toc454304977"/>
      <w:r>
        <w:rPr>
          <w:rFonts w:hint="eastAsia" w:ascii="宋体" w:hAnsi="宋体"/>
          <w:b/>
          <w:bCs/>
          <w:kern w:val="44"/>
          <w:sz w:val="21"/>
          <w:szCs w:val="21"/>
        </w:rPr>
        <w:t>（</w:t>
      </w:r>
      <w:r>
        <w:rPr>
          <w:rFonts w:ascii="宋体" w:hAnsi="宋体"/>
          <w:b/>
          <w:bCs/>
          <w:kern w:val="44"/>
          <w:sz w:val="21"/>
          <w:szCs w:val="21"/>
        </w:rPr>
        <w:t>四）</w:t>
      </w:r>
      <w:r>
        <w:rPr>
          <w:rFonts w:hint="eastAsia" w:ascii="宋体" w:hAnsi="宋体"/>
          <w:b/>
          <w:bCs/>
          <w:kern w:val="44"/>
          <w:sz w:val="21"/>
          <w:szCs w:val="21"/>
        </w:rPr>
        <w:t>师资培训</w:t>
      </w:r>
      <w:bookmarkEnd w:id="59"/>
    </w:p>
    <w:p>
      <w:pPr>
        <w:ind w:firstLine="420"/>
        <w:rPr>
          <w:rFonts w:ascii="宋体" w:hAnsi="宋体"/>
          <w:sz w:val="21"/>
          <w:szCs w:val="21"/>
        </w:rPr>
      </w:pPr>
      <w:r>
        <w:rPr>
          <w:rFonts w:hint="eastAsia" w:ascii="宋体" w:hAnsi="宋体"/>
          <w:sz w:val="21"/>
          <w:szCs w:val="21"/>
        </w:rPr>
        <w:t>师资培训的内容主要包括远程教育理论、现代教育技术、教学设计、专业建设、教学资源建设、教学支持服务、教学管理和教学研究等。师资培训采用分级的方式实施。</w:t>
      </w:r>
    </w:p>
    <w:p>
      <w:pPr>
        <w:numPr>
          <w:ilvl w:val="0"/>
          <w:numId w:val="5"/>
        </w:numPr>
        <w:spacing w:before="240" w:after="60"/>
        <w:ind w:firstLineChars="0"/>
        <w:jc w:val="left"/>
        <w:outlineLvl w:val="1"/>
        <w:rPr>
          <w:rFonts w:ascii="宋体" w:hAnsi="宋体"/>
          <w:b/>
          <w:bCs/>
          <w:kern w:val="28"/>
          <w:sz w:val="21"/>
          <w:szCs w:val="21"/>
        </w:rPr>
      </w:pPr>
      <w:bookmarkStart w:id="60" w:name="_Toc454304978"/>
      <w:r>
        <w:rPr>
          <w:rFonts w:ascii="宋体" w:hAnsi="宋体"/>
          <w:b/>
          <w:bCs/>
          <w:kern w:val="28"/>
          <w:sz w:val="21"/>
          <w:szCs w:val="21"/>
        </w:rPr>
        <w:t>师资培训</w:t>
      </w:r>
      <w:bookmarkEnd w:id="60"/>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负责组织学习中心的专业和统设课程责任教师的培训及其他培训。开课前，国家开放大学西安分部将组织开展新开课程的师资培训，学习中心《安全技术与管理》（专科）专业课程责任教师、辅导教师均应参加培训。国家开放大学西安分部也应加强对辅导教师开展有针对性的培训。师资培训的形式应视情况适当确定。既可以采取召开培训会、举办培训班的方式进行，也可以通过网络、双向视频系统或者下发培训资料等方式进行。</w:t>
      </w:r>
    </w:p>
    <w:p>
      <w:pPr>
        <w:spacing w:before="240" w:after="60"/>
        <w:ind w:firstLine="422"/>
        <w:jc w:val="left"/>
        <w:outlineLvl w:val="1"/>
        <w:rPr>
          <w:rFonts w:ascii="宋体" w:hAnsi="宋体"/>
          <w:b/>
          <w:bCs/>
          <w:kern w:val="28"/>
          <w:sz w:val="21"/>
          <w:szCs w:val="21"/>
        </w:rPr>
      </w:pPr>
      <w:bookmarkStart w:id="61" w:name="_Toc454304979"/>
      <w:r>
        <w:rPr>
          <w:rFonts w:ascii="宋体" w:hAnsi="宋体"/>
          <w:b/>
          <w:bCs/>
          <w:kern w:val="28"/>
          <w:sz w:val="21"/>
          <w:szCs w:val="21"/>
        </w:rPr>
        <w:t>2.教</w:t>
      </w:r>
      <w:r>
        <w:rPr>
          <w:rFonts w:hint="eastAsia" w:ascii="宋体" w:hAnsi="宋体"/>
          <w:b/>
          <w:bCs/>
          <w:kern w:val="28"/>
          <w:sz w:val="21"/>
          <w:szCs w:val="21"/>
        </w:rPr>
        <w:t>研活动</w:t>
      </w:r>
      <w:bookmarkEnd w:id="6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国家开放大学西安分部组织的教研活动，原则上每个专业每学期不少于一次。各学习中心根据教学工作需要，适时组织专业或课程的教研活动。</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研活动应有计划地进行，原则上安排于开学前在国家开放大学西安分部远程教学平台上发布。开展教研活动的前两周，教研活动组织者在国家开放大学西安分部教学平台上公布教研活动的内容及要求，以便参加活动的教师提前做好准备。</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教研活动可采取多种形式，提倡开展网上教研活动。</w:t>
      </w:r>
    </w:p>
    <w:p>
      <w:pPr>
        <w:spacing w:before="240" w:after="60"/>
        <w:ind w:firstLine="482"/>
        <w:jc w:val="left"/>
        <w:outlineLvl w:val="0"/>
        <w:rPr>
          <w:rFonts w:ascii="宋体" w:hAnsi="宋体"/>
          <w:b/>
          <w:bCs/>
        </w:rPr>
      </w:pPr>
      <w:bookmarkStart w:id="62" w:name="_Toc454304980"/>
      <w:r>
        <w:rPr>
          <w:rFonts w:hint="eastAsia" w:ascii="宋体" w:hAnsi="宋体"/>
          <w:b/>
          <w:bCs/>
        </w:rPr>
        <w:t>三</w:t>
      </w:r>
      <w:r>
        <w:rPr>
          <w:rFonts w:ascii="宋体" w:hAnsi="宋体"/>
          <w:b/>
          <w:bCs/>
        </w:rPr>
        <w:t>、</w:t>
      </w:r>
      <w:r>
        <w:rPr>
          <w:rFonts w:hint="eastAsia" w:ascii="宋体" w:hAnsi="宋体"/>
          <w:b/>
          <w:bCs/>
        </w:rPr>
        <w:t>教学环节与要求</w:t>
      </w:r>
      <w:bookmarkEnd w:id="62"/>
    </w:p>
    <w:p>
      <w:pPr>
        <w:ind w:firstLine="420"/>
        <w:rPr>
          <w:rFonts w:ascii="宋体" w:hAnsi="宋体"/>
          <w:sz w:val="21"/>
          <w:szCs w:val="21"/>
        </w:rPr>
      </w:pPr>
      <w:r>
        <w:rPr>
          <w:rFonts w:hint="eastAsia" w:ascii="宋体" w:hAnsi="宋体"/>
          <w:sz w:val="21"/>
          <w:szCs w:val="21"/>
        </w:rPr>
        <w:t>教学过程的落实是开放教育深化教学改革，探索国家开放大学新型框架下的教学模式，保证教学质量的重要环节。在教学中要做好以下工作：</w:t>
      </w:r>
    </w:p>
    <w:p>
      <w:pPr>
        <w:keepNext/>
        <w:keepLines/>
        <w:spacing w:beforeLines="20" w:afterLines="20"/>
        <w:ind w:firstLine="422"/>
        <w:jc w:val="left"/>
        <w:outlineLvl w:val="0"/>
        <w:rPr>
          <w:rFonts w:ascii="宋体" w:hAnsi="宋体"/>
          <w:b/>
          <w:bCs/>
          <w:kern w:val="44"/>
          <w:sz w:val="21"/>
          <w:szCs w:val="21"/>
        </w:rPr>
      </w:pPr>
      <w:bookmarkStart w:id="63" w:name="_Toc454304981"/>
      <w:r>
        <w:rPr>
          <w:rFonts w:hint="eastAsia" w:ascii="宋体" w:hAnsi="宋体"/>
          <w:b/>
          <w:bCs/>
          <w:kern w:val="44"/>
          <w:sz w:val="21"/>
          <w:szCs w:val="21"/>
        </w:rPr>
        <w:t>（</w:t>
      </w:r>
      <w:r>
        <w:rPr>
          <w:rFonts w:ascii="宋体" w:hAnsi="宋体"/>
          <w:b/>
          <w:bCs/>
          <w:kern w:val="44"/>
          <w:sz w:val="21"/>
          <w:szCs w:val="21"/>
        </w:rPr>
        <w:t>一</w:t>
      </w:r>
      <w:r>
        <w:rPr>
          <w:rFonts w:hint="eastAsia" w:ascii="宋体" w:hAnsi="宋体"/>
          <w:b/>
          <w:bCs/>
          <w:kern w:val="44"/>
          <w:sz w:val="21"/>
          <w:szCs w:val="21"/>
        </w:rPr>
        <w:t>）入学教育</w:t>
      </w:r>
      <w:bookmarkEnd w:id="63"/>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新生入学，应认真组织好入学教育，切实上好《国家开放大学学习指南》课程，使学习者对远程教育的教学特点和学习要求与方式、本专业的课程设置和课程的实施与组织、综合实践教学的要求、学习支持服务等有基本了解，同时应培养学习者应用计算机的能力，利用网络获得信息和学习支持服务的能力。</w:t>
      </w:r>
    </w:p>
    <w:p>
      <w:pPr>
        <w:keepNext/>
        <w:keepLines/>
        <w:spacing w:beforeLines="20" w:afterLines="20"/>
        <w:ind w:firstLine="422"/>
        <w:jc w:val="left"/>
        <w:outlineLvl w:val="0"/>
        <w:rPr>
          <w:rFonts w:ascii="宋体" w:hAnsi="宋体"/>
          <w:b/>
          <w:bCs/>
          <w:kern w:val="44"/>
          <w:sz w:val="21"/>
          <w:szCs w:val="21"/>
        </w:rPr>
      </w:pPr>
      <w:bookmarkStart w:id="64" w:name="_Toc454304982"/>
      <w:r>
        <w:rPr>
          <w:rFonts w:hint="eastAsia" w:ascii="宋体" w:hAnsi="宋体"/>
          <w:b/>
          <w:bCs/>
          <w:kern w:val="44"/>
          <w:sz w:val="21"/>
          <w:szCs w:val="21"/>
        </w:rPr>
        <w:t>（</w:t>
      </w:r>
      <w:r>
        <w:rPr>
          <w:rFonts w:ascii="宋体" w:hAnsi="宋体"/>
          <w:b/>
          <w:bCs/>
          <w:kern w:val="44"/>
          <w:sz w:val="21"/>
          <w:szCs w:val="21"/>
        </w:rPr>
        <w:t>二）</w:t>
      </w:r>
      <w:r>
        <w:rPr>
          <w:rFonts w:hint="eastAsia" w:ascii="宋体" w:hAnsi="宋体"/>
          <w:b/>
          <w:bCs/>
          <w:kern w:val="44"/>
          <w:sz w:val="21"/>
          <w:szCs w:val="21"/>
        </w:rPr>
        <w:t>制定学习计划</w:t>
      </w:r>
      <w:bookmarkEnd w:id="64"/>
    </w:p>
    <w:p>
      <w:pPr>
        <w:ind w:firstLine="420"/>
        <w:rPr>
          <w:rFonts w:ascii="宋体" w:hAnsi="宋体"/>
          <w:sz w:val="21"/>
          <w:szCs w:val="21"/>
        </w:rPr>
      </w:pPr>
      <w:r>
        <w:rPr>
          <w:rFonts w:hint="eastAsia" w:ascii="宋体" w:hAnsi="宋体"/>
          <w:sz w:val="21"/>
          <w:szCs w:val="21"/>
        </w:rPr>
        <w:t>本专业部分课程有一定先后接续性，指导学生按专业规则表中的课程建议开设学期选课。</w:t>
      </w:r>
    </w:p>
    <w:p>
      <w:pPr>
        <w:keepNext/>
        <w:keepLines/>
        <w:spacing w:beforeLines="20" w:afterLines="20"/>
        <w:ind w:firstLine="422"/>
        <w:jc w:val="left"/>
        <w:outlineLvl w:val="0"/>
        <w:rPr>
          <w:rFonts w:ascii="宋体" w:hAnsi="宋体"/>
          <w:b/>
          <w:bCs/>
          <w:kern w:val="44"/>
          <w:sz w:val="21"/>
          <w:szCs w:val="21"/>
        </w:rPr>
      </w:pPr>
      <w:bookmarkStart w:id="65" w:name="_Toc454304983"/>
      <w:r>
        <w:rPr>
          <w:rFonts w:hint="eastAsia" w:ascii="宋体" w:hAnsi="宋体"/>
          <w:b/>
          <w:bCs/>
          <w:kern w:val="44"/>
          <w:sz w:val="21"/>
          <w:szCs w:val="21"/>
        </w:rPr>
        <w:t>（三）远程教学</w:t>
      </w:r>
      <w:bookmarkEnd w:id="65"/>
    </w:p>
    <w:p>
      <w:pPr>
        <w:spacing w:before="240" w:after="60"/>
        <w:ind w:firstLine="422"/>
        <w:jc w:val="left"/>
        <w:outlineLvl w:val="1"/>
        <w:rPr>
          <w:rFonts w:ascii="宋体" w:hAnsi="宋体"/>
          <w:b/>
          <w:bCs/>
          <w:kern w:val="28"/>
          <w:sz w:val="21"/>
          <w:szCs w:val="21"/>
        </w:rPr>
      </w:pPr>
      <w:bookmarkStart w:id="66" w:name="_Toc454304984"/>
      <w:r>
        <w:rPr>
          <w:rFonts w:ascii="宋体" w:hAnsi="宋体"/>
          <w:b/>
          <w:bCs/>
          <w:kern w:val="28"/>
          <w:sz w:val="21"/>
          <w:szCs w:val="21"/>
        </w:rPr>
        <w:t>1.系统教学</w:t>
      </w:r>
      <w:bookmarkEnd w:id="66"/>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根据资源建设规划，进行统设必修课音像教学资源的建设工作，并通过多种教学途径将音像教学资源传输到各学习中心，各学习中心接收下载，或组织学生收看，或刻录成光盘提供学生使用，或转换成流媒体挂在网络上供学生点播。</w:t>
      </w:r>
    </w:p>
    <w:p>
      <w:pPr>
        <w:spacing w:before="240" w:after="60"/>
        <w:ind w:firstLine="422"/>
        <w:jc w:val="left"/>
        <w:outlineLvl w:val="1"/>
        <w:rPr>
          <w:rFonts w:ascii="宋体" w:hAnsi="宋体"/>
          <w:b/>
          <w:bCs/>
          <w:kern w:val="28"/>
          <w:sz w:val="21"/>
          <w:szCs w:val="21"/>
        </w:rPr>
      </w:pPr>
      <w:bookmarkStart w:id="67" w:name="_Toc454304985"/>
      <w:r>
        <w:rPr>
          <w:rFonts w:ascii="宋体" w:hAnsi="宋体"/>
          <w:b/>
          <w:bCs/>
          <w:kern w:val="28"/>
          <w:sz w:val="21"/>
          <w:szCs w:val="21"/>
        </w:rPr>
        <w:t>2.网</w:t>
      </w:r>
      <w:r>
        <w:rPr>
          <w:rFonts w:hint="eastAsia" w:ascii="宋体" w:hAnsi="宋体"/>
          <w:b/>
          <w:bCs/>
          <w:kern w:val="28"/>
          <w:sz w:val="21"/>
          <w:szCs w:val="21"/>
        </w:rPr>
        <w:t>络教学</w:t>
      </w:r>
      <w:bookmarkEnd w:id="67"/>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统设必修课的有关教学文件、课程设计方案、课程辅导文本等在新课开出前提供在网上相应的专业和课程中，新开课程、滚动课程每学期网上有相应的教学和教研活动，期末时有相应的辅导。国家开放大学西安分部应提前公布省开课程的网上教学安排，为广大师生提供一个在线交流、自主学习与个别化教育的环境，引导学生利用网络学习，积极参加网上教学活动。</w:t>
      </w:r>
    </w:p>
    <w:p>
      <w:pPr>
        <w:keepNext/>
        <w:keepLines/>
        <w:spacing w:beforeLines="20" w:afterLines="20"/>
        <w:ind w:firstLine="422"/>
        <w:jc w:val="left"/>
        <w:outlineLvl w:val="0"/>
        <w:rPr>
          <w:rFonts w:ascii="宋体" w:hAnsi="宋体"/>
          <w:b/>
          <w:bCs/>
          <w:kern w:val="44"/>
          <w:sz w:val="21"/>
          <w:szCs w:val="21"/>
        </w:rPr>
      </w:pPr>
      <w:bookmarkStart w:id="68" w:name="_Toc454304986"/>
      <w:r>
        <w:rPr>
          <w:rFonts w:hint="eastAsia" w:ascii="宋体" w:hAnsi="宋体"/>
          <w:b/>
          <w:bCs/>
          <w:kern w:val="44"/>
          <w:sz w:val="21"/>
          <w:szCs w:val="21"/>
        </w:rPr>
        <w:t>（</w:t>
      </w:r>
      <w:r>
        <w:rPr>
          <w:rFonts w:ascii="宋体" w:hAnsi="宋体"/>
          <w:b/>
          <w:bCs/>
          <w:kern w:val="44"/>
          <w:sz w:val="21"/>
          <w:szCs w:val="21"/>
        </w:rPr>
        <w:t>四）</w:t>
      </w:r>
      <w:r>
        <w:rPr>
          <w:rFonts w:hint="eastAsia" w:ascii="宋体" w:hAnsi="宋体"/>
          <w:b/>
          <w:bCs/>
          <w:kern w:val="44"/>
          <w:sz w:val="21"/>
          <w:szCs w:val="21"/>
        </w:rPr>
        <w:t>面授辅导</w:t>
      </w:r>
      <w:bookmarkEnd w:id="68"/>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专职或兼职辅导教师，应选择学生方便的时间安排到校集中讲解、答疑。集中面授辅导除针对课程的重点、难点进行适量讲解和答疑以外，更应利用校内实训设备为学生提供实际操作技能训练的机会和指导。提倡辅导教师采用案例、任务驱动、角色扮演等教学方式进行辅导以及实训，引导学生完成实训目标，培养学生分析和解决问题的能力。面授辅导不提倡系统讲授，应指导学生使用录像教材，共享优质教育资源。</w:t>
      </w:r>
    </w:p>
    <w:p>
      <w:pPr>
        <w:keepNext/>
        <w:keepLines/>
        <w:spacing w:beforeLines="20" w:afterLines="20"/>
        <w:ind w:firstLine="422"/>
        <w:jc w:val="left"/>
        <w:outlineLvl w:val="0"/>
        <w:rPr>
          <w:rFonts w:ascii="宋体" w:hAnsi="宋体"/>
          <w:b/>
          <w:bCs/>
          <w:kern w:val="44"/>
          <w:sz w:val="21"/>
          <w:szCs w:val="21"/>
        </w:rPr>
      </w:pPr>
      <w:bookmarkStart w:id="69" w:name="_Toc454304987"/>
      <w:r>
        <w:rPr>
          <w:rFonts w:hint="eastAsia" w:ascii="宋体" w:hAnsi="宋体"/>
          <w:b/>
          <w:bCs/>
          <w:kern w:val="44"/>
          <w:sz w:val="21"/>
          <w:szCs w:val="21"/>
        </w:rPr>
        <w:t>（</w:t>
      </w:r>
      <w:r>
        <w:rPr>
          <w:rFonts w:ascii="宋体" w:hAnsi="宋体"/>
          <w:b/>
          <w:bCs/>
          <w:kern w:val="44"/>
          <w:sz w:val="21"/>
          <w:szCs w:val="21"/>
        </w:rPr>
        <w:t>五）</w:t>
      </w:r>
      <w:r>
        <w:rPr>
          <w:rFonts w:hint="eastAsia" w:ascii="宋体" w:hAnsi="宋体"/>
          <w:b/>
          <w:bCs/>
          <w:kern w:val="44"/>
          <w:sz w:val="21"/>
          <w:szCs w:val="21"/>
        </w:rPr>
        <w:t>教研活动</w:t>
      </w:r>
      <w:bookmarkEnd w:id="69"/>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组织的教研活动应严格按照国家开放大学规定要求开展，学习中心根据教学工作需要，适时组织专业或课程的教研活动。教研活动应有计划地进行，原则上安排于开学前在“国家开放大学学习网”上发布。开展教研活动的前两周，教研活动组织者在“国家开放大学学习网”上公布教研活动的内容及要求，以便参加活动的教师提前做好准备。教研活动可采取多种形式，提倡开展网上教研活动。</w:t>
      </w:r>
    </w:p>
    <w:p>
      <w:pPr>
        <w:keepNext/>
        <w:keepLines/>
        <w:spacing w:beforeLines="20" w:afterLines="20"/>
        <w:ind w:firstLine="422"/>
        <w:jc w:val="left"/>
        <w:outlineLvl w:val="0"/>
        <w:rPr>
          <w:rFonts w:ascii="宋体" w:hAnsi="宋体"/>
          <w:b/>
          <w:bCs/>
          <w:kern w:val="44"/>
          <w:sz w:val="21"/>
          <w:szCs w:val="21"/>
        </w:rPr>
      </w:pPr>
      <w:bookmarkStart w:id="70" w:name="_Toc454304988"/>
      <w:r>
        <w:rPr>
          <w:rFonts w:hint="eastAsia" w:ascii="宋体" w:hAnsi="宋体"/>
          <w:b/>
          <w:bCs/>
          <w:kern w:val="44"/>
          <w:sz w:val="21"/>
          <w:szCs w:val="21"/>
        </w:rPr>
        <w:t>（</w:t>
      </w:r>
      <w:r>
        <w:rPr>
          <w:rFonts w:ascii="宋体" w:hAnsi="宋体"/>
          <w:b/>
          <w:bCs/>
          <w:kern w:val="44"/>
          <w:sz w:val="21"/>
          <w:szCs w:val="21"/>
        </w:rPr>
        <w:t>六）</w:t>
      </w:r>
      <w:r>
        <w:rPr>
          <w:rFonts w:hint="eastAsia" w:ascii="宋体" w:hAnsi="宋体"/>
          <w:b/>
          <w:bCs/>
          <w:kern w:val="44"/>
          <w:sz w:val="21"/>
          <w:szCs w:val="21"/>
        </w:rPr>
        <w:t>综合实训</w:t>
      </w:r>
      <w:bookmarkEnd w:id="70"/>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学生均应参加教学计划中规定的必修集中实践（实训）环节。</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国家开放大学西安分部统一制定的集中实践（实训）环节的实训要求、实训指导和实训评价，由各学习中心具体组织实施。集中实践（实训）环节可根据各地实际情况确定。</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集中实践（实训）环节的成绩合格者可取得相应学分。未取得必修集中实践（实训）环节的学分者不得毕业。</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综合实践环节主要由毕业实践、工业通风除尘课程设计、防火防爆课程设计、安全评价课程设计、职业危害因素分析与评价等课程组成。</w:t>
      </w:r>
    </w:p>
    <w:p>
      <w:pPr>
        <w:spacing w:before="240" w:after="60"/>
        <w:ind w:firstLine="422"/>
        <w:jc w:val="left"/>
        <w:outlineLvl w:val="1"/>
        <w:rPr>
          <w:rFonts w:ascii="宋体" w:hAnsi="宋体"/>
          <w:b/>
          <w:bCs/>
          <w:kern w:val="28"/>
          <w:sz w:val="21"/>
          <w:szCs w:val="21"/>
        </w:rPr>
      </w:pPr>
      <w:bookmarkStart w:id="71" w:name="_Toc454304989"/>
      <w:r>
        <w:rPr>
          <w:rFonts w:ascii="宋体" w:hAnsi="宋体"/>
          <w:b/>
          <w:bCs/>
          <w:kern w:val="28"/>
          <w:sz w:val="21"/>
          <w:szCs w:val="21"/>
        </w:rPr>
        <w:t>1.毕业实践</w:t>
      </w:r>
      <w:bookmarkEnd w:id="7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毕业实践是理论联系实际的教学活动，是《安全技术与管理》专业最重要的实践性教学环节之一。学生在学完五个模块的课程前提下，熟悉现场技术员岗位职责，完成岗位职责的能力、方法、手段与程序的训练。通过毕业实践，使学生进一步巩固和加深理解所学的专业理论知识，开阔视野、扩大学生的知识面，并使学生具有综合运用所学的专业知识，独立完成职业岗位工作及解决工程实际问题的能力，为毕业后提升职业岗位能力创造条件。</w:t>
      </w:r>
    </w:p>
    <w:p>
      <w:pPr>
        <w:spacing w:before="240" w:after="60"/>
        <w:ind w:firstLine="422"/>
        <w:jc w:val="left"/>
        <w:outlineLvl w:val="1"/>
        <w:rPr>
          <w:rFonts w:ascii="宋体" w:hAnsi="宋体"/>
          <w:b/>
          <w:bCs/>
          <w:kern w:val="28"/>
          <w:sz w:val="21"/>
          <w:szCs w:val="21"/>
        </w:rPr>
      </w:pPr>
      <w:bookmarkStart w:id="72" w:name="_Toc454304990"/>
      <w:r>
        <w:rPr>
          <w:rFonts w:ascii="宋体" w:hAnsi="宋体"/>
          <w:b/>
          <w:bCs/>
          <w:kern w:val="28"/>
          <w:sz w:val="21"/>
          <w:szCs w:val="21"/>
        </w:rPr>
        <w:t>2.工</w:t>
      </w:r>
      <w:r>
        <w:rPr>
          <w:rFonts w:hint="eastAsia" w:ascii="宋体" w:hAnsi="宋体"/>
          <w:b/>
          <w:bCs/>
          <w:kern w:val="28"/>
          <w:sz w:val="21"/>
          <w:szCs w:val="21"/>
        </w:rPr>
        <w:t>业</w:t>
      </w:r>
      <w:r>
        <w:rPr>
          <w:rFonts w:ascii="宋体" w:hAnsi="宋体"/>
          <w:b/>
          <w:bCs/>
          <w:kern w:val="28"/>
          <w:sz w:val="21"/>
          <w:szCs w:val="21"/>
        </w:rPr>
        <w:t>通风除尘课程设计</w:t>
      </w:r>
      <w:bookmarkEnd w:id="7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课程的设计目的主要是为了掌握管道摩擦阻力、局部阻力计算、管道压力分布分析计算、管道尺寸计算的约束条件、设计计算方法、均匀送风管道的计算，要求学生认真、细致、熟练掌握通风除尘系统的设计计算方法。</w:t>
      </w:r>
    </w:p>
    <w:p>
      <w:pPr>
        <w:spacing w:before="240" w:after="60"/>
        <w:ind w:firstLine="422"/>
        <w:jc w:val="left"/>
        <w:outlineLvl w:val="1"/>
        <w:rPr>
          <w:rFonts w:ascii="宋体" w:hAnsi="宋体"/>
          <w:b/>
          <w:bCs/>
          <w:kern w:val="28"/>
          <w:sz w:val="21"/>
          <w:szCs w:val="21"/>
        </w:rPr>
      </w:pPr>
      <w:bookmarkStart w:id="73" w:name="_Toc454304991"/>
      <w:r>
        <w:rPr>
          <w:rFonts w:ascii="宋体" w:hAnsi="宋体"/>
          <w:b/>
          <w:bCs/>
          <w:kern w:val="28"/>
          <w:sz w:val="21"/>
          <w:szCs w:val="21"/>
        </w:rPr>
        <w:t>3.防火防爆课程设计</w:t>
      </w:r>
      <w:bookmarkEnd w:id="73"/>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课程设计要求学生运用已学过的各种火灾探测器、控制器的知识，完成火灾消防监控系统中监测系统、灭火系统、消防电话系统、消防广播系统等各分系统的设计，以便进一步理解火灾探测与控制的基本原理，了解火灾监测监控系统设计的步骤和方法，培养学生初步设计小型火灾监测监控系统方案的能力。</w:t>
      </w:r>
    </w:p>
    <w:p>
      <w:pPr>
        <w:spacing w:before="240" w:after="60"/>
        <w:ind w:firstLine="422"/>
        <w:jc w:val="left"/>
        <w:outlineLvl w:val="1"/>
        <w:rPr>
          <w:rFonts w:ascii="宋体" w:hAnsi="宋体"/>
          <w:b/>
          <w:bCs/>
          <w:kern w:val="28"/>
          <w:sz w:val="21"/>
          <w:szCs w:val="21"/>
        </w:rPr>
      </w:pPr>
      <w:bookmarkStart w:id="74" w:name="_Toc454304992"/>
      <w:r>
        <w:rPr>
          <w:rFonts w:ascii="宋体" w:hAnsi="宋体"/>
          <w:b/>
          <w:bCs/>
          <w:kern w:val="28"/>
          <w:sz w:val="21"/>
          <w:szCs w:val="21"/>
        </w:rPr>
        <w:t>4.</w:t>
      </w:r>
      <w:r>
        <w:rPr>
          <w:rFonts w:hint="eastAsia" w:ascii="宋体" w:hAnsi="宋体"/>
          <w:b/>
          <w:bCs/>
          <w:kern w:val="28"/>
          <w:sz w:val="21"/>
          <w:szCs w:val="21"/>
        </w:rPr>
        <w:t>安全评价</w:t>
      </w:r>
      <w:r>
        <w:rPr>
          <w:rFonts w:ascii="宋体" w:hAnsi="宋体"/>
          <w:b/>
          <w:bCs/>
          <w:kern w:val="28"/>
          <w:sz w:val="21"/>
          <w:szCs w:val="21"/>
        </w:rPr>
        <w:t>课程设计</w:t>
      </w:r>
      <w:bookmarkEnd w:id="7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使学生更好地熟悉和掌握专业课的基本理论和主要的安全评价方法，重点在于：熟悉安全生产的工作流程、安全生产规程和安全管理制度；熟悉在安全生产过程中存在的主要危险、有害因素；掌握常用的安全评价方法：事故树分析、鱼刺图分析、事件树分析方法等；运用安全管理原理因地制宜地提出安全对策及措施。</w:t>
      </w:r>
    </w:p>
    <w:p>
      <w:pPr>
        <w:spacing w:before="240" w:after="60"/>
        <w:ind w:firstLine="422"/>
        <w:jc w:val="left"/>
        <w:outlineLvl w:val="1"/>
        <w:rPr>
          <w:rFonts w:ascii="宋体" w:hAnsi="宋体"/>
          <w:b/>
          <w:bCs/>
          <w:kern w:val="28"/>
          <w:sz w:val="21"/>
          <w:szCs w:val="21"/>
        </w:rPr>
      </w:pPr>
      <w:bookmarkStart w:id="75" w:name="_Toc454304993"/>
      <w:r>
        <w:rPr>
          <w:rFonts w:ascii="宋体" w:hAnsi="宋体"/>
          <w:b/>
          <w:bCs/>
          <w:kern w:val="28"/>
          <w:sz w:val="21"/>
          <w:szCs w:val="21"/>
        </w:rPr>
        <w:t>5.</w:t>
      </w:r>
      <w:r>
        <w:rPr>
          <w:rFonts w:hint="eastAsia" w:ascii="宋体" w:hAnsi="宋体"/>
          <w:b/>
          <w:bCs/>
          <w:kern w:val="28"/>
          <w:sz w:val="21"/>
          <w:szCs w:val="21"/>
        </w:rPr>
        <w:t>职业危害</w:t>
      </w:r>
      <w:r>
        <w:rPr>
          <w:rFonts w:ascii="宋体" w:hAnsi="宋体"/>
          <w:b/>
          <w:bCs/>
          <w:kern w:val="28"/>
          <w:sz w:val="21"/>
          <w:szCs w:val="21"/>
        </w:rPr>
        <w:t>因素分析</w:t>
      </w:r>
      <w:r>
        <w:rPr>
          <w:rFonts w:hint="eastAsia" w:ascii="宋体" w:hAnsi="宋体"/>
          <w:b/>
          <w:bCs/>
          <w:kern w:val="28"/>
          <w:sz w:val="21"/>
          <w:szCs w:val="21"/>
        </w:rPr>
        <w:t>与评价</w:t>
      </w:r>
      <w:bookmarkEnd w:id="7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过环境监测、健康监护、实验室测试等手段，对危害因素的潜在作用进行定性和定量的鉴定和评价，推断它在多大剂量（浓度）和何种条件下可能构成损害；探讨其损害性质，并估测其在一般接触条件下可能造成损害的程度和概率。可采用以下方法：综合分析法，即对危害因素进行具体的综合分析；指标的定量性，即衡量时常使用定量指标，来划分危险度；结论的预测性，即根据结论可以预测危害因素所致的某些后果，以便及时采取措施。</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鉴于安全技术与管理专业实践性较强，建议学习中心积极加强与所在地区安全技术行业的交流与合作，为学生提供良好的实践机会，能够提高学生对专业的理解，积累学生岗位工作经验。</w:t>
      </w:r>
    </w:p>
    <w:p>
      <w:pPr>
        <w:keepNext/>
        <w:keepLines/>
        <w:spacing w:beforeLines="20" w:afterLines="20"/>
        <w:ind w:firstLine="422"/>
        <w:jc w:val="left"/>
        <w:outlineLvl w:val="0"/>
        <w:rPr>
          <w:rFonts w:ascii="宋体" w:hAnsi="宋体"/>
          <w:b/>
          <w:bCs/>
          <w:kern w:val="44"/>
          <w:sz w:val="21"/>
          <w:szCs w:val="21"/>
        </w:rPr>
      </w:pPr>
      <w:bookmarkStart w:id="76" w:name="_Toc454304994"/>
      <w:r>
        <w:rPr>
          <w:rFonts w:hint="eastAsia" w:ascii="宋体" w:hAnsi="宋体"/>
          <w:b/>
          <w:bCs/>
          <w:kern w:val="44"/>
          <w:sz w:val="21"/>
          <w:szCs w:val="21"/>
        </w:rPr>
        <w:t>（</w:t>
      </w:r>
      <w:r>
        <w:rPr>
          <w:rFonts w:ascii="宋体" w:hAnsi="宋体"/>
          <w:b/>
          <w:bCs/>
          <w:kern w:val="44"/>
          <w:sz w:val="21"/>
          <w:szCs w:val="21"/>
        </w:rPr>
        <w:t>七）</w:t>
      </w:r>
      <w:r>
        <w:rPr>
          <w:rFonts w:hint="eastAsia" w:ascii="宋体" w:hAnsi="宋体"/>
          <w:b/>
          <w:bCs/>
          <w:kern w:val="44"/>
          <w:sz w:val="21"/>
          <w:szCs w:val="21"/>
        </w:rPr>
        <w:t>作业与考核</w:t>
      </w:r>
      <w:bookmarkEnd w:id="76"/>
    </w:p>
    <w:p>
      <w:pPr>
        <w:spacing w:before="240" w:after="60"/>
        <w:ind w:firstLine="422"/>
        <w:jc w:val="left"/>
        <w:outlineLvl w:val="1"/>
        <w:rPr>
          <w:rFonts w:ascii="宋体" w:hAnsi="宋体"/>
          <w:b/>
          <w:bCs/>
          <w:kern w:val="28"/>
          <w:sz w:val="21"/>
          <w:szCs w:val="21"/>
        </w:rPr>
      </w:pPr>
      <w:bookmarkStart w:id="77" w:name="_Toc454304995"/>
      <w:r>
        <w:rPr>
          <w:rFonts w:ascii="宋体" w:hAnsi="宋体"/>
          <w:b/>
          <w:bCs/>
          <w:kern w:val="28"/>
          <w:sz w:val="21"/>
          <w:szCs w:val="21"/>
        </w:rPr>
        <w:t>1.平时作业</w:t>
      </w:r>
      <w:bookmarkEnd w:id="77"/>
    </w:p>
    <w:p>
      <w:pPr>
        <w:ind w:firstLine="420"/>
        <w:rPr>
          <w:rFonts w:ascii="宋体" w:hAnsi="宋体"/>
          <w:sz w:val="21"/>
          <w:szCs w:val="21"/>
        </w:rPr>
      </w:pPr>
      <w:r>
        <w:rPr>
          <w:rFonts w:ascii="宋体" w:hAnsi="宋体"/>
          <w:sz w:val="21"/>
          <w:szCs w:val="21"/>
        </w:rPr>
        <w:t>统设必修课的课程作业由国家开放大学统一安排，各门课程根据课程教学目标安排相应的平时作业。国家开放大学西安分部可视当地学员的学习情况补充少量作业，其他课程的作业由各分部责任教师安排，可以通过网络或辅导教师等渠道加以布置。由分部落实本地区的平时作业，并组织作业评阅和批改。</w:t>
      </w:r>
    </w:p>
    <w:p>
      <w:pPr>
        <w:spacing w:before="240" w:after="60"/>
        <w:ind w:firstLine="422"/>
        <w:jc w:val="left"/>
        <w:outlineLvl w:val="1"/>
        <w:rPr>
          <w:rFonts w:ascii="宋体" w:hAnsi="宋体"/>
          <w:b/>
          <w:bCs/>
          <w:kern w:val="28"/>
          <w:sz w:val="21"/>
          <w:szCs w:val="21"/>
        </w:rPr>
      </w:pPr>
      <w:bookmarkStart w:id="78" w:name="_Toc454304996"/>
      <w:r>
        <w:rPr>
          <w:rFonts w:ascii="宋体" w:hAnsi="宋体"/>
          <w:b/>
          <w:bCs/>
          <w:kern w:val="28"/>
          <w:sz w:val="21"/>
          <w:szCs w:val="21"/>
        </w:rPr>
        <w:t>2.课</w:t>
      </w:r>
      <w:r>
        <w:rPr>
          <w:rFonts w:hint="eastAsia" w:ascii="宋体" w:hAnsi="宋体"/>
          <w:b/>
          <w:bCs/>
          <w:kern w:val="28"/>
          <w:sz w:val="21"/>
          <w:szCs w:val="21"/>
        </w:rPr>
        <w:t>程考核</w:t>
      </w:r>
      <w:bookmarkEnd w:id="78"/>
    </w:p>
    <w:p>
      <w:pPr>
        <w:ind w:firstLine="420"/>
        <w:rPr>
          <w:rFonts w:ascii="宋体" w:hAnsi="宋体"/>
          <w:sz w:val="21"/>
          <w:szCs w:val="21"/>
        </w:rPr>
      </w:pPr>
      <w:r>
        <w:rPr>
          <w:rFonts w:hint="eastAsia" w:ascii="宋体" w:hAnsi="宋体"/>
          <w:sz w:val="21"/>
          <w:szCs w:val="21"/>
        </w:rPr>
        <w:t>课程考核包括形成性考核和终结性考试。课程考核的内容必须符合教学大纲，以基本知识、基本程序和基本技能标准考核为主，同时注意考核学生综合运用所学理论、知识和技能分析解决问题的能力。</w:t>
      </w:r>
    </w:p>
    <w:p>
      <w:pPr>
        <w:ind w:firstLine="420"/>
        <w:rPr>
          <w:rFonts w:ascii="宋体" w:hAnsi="宋体"/>
          <w:sz w:val="21"/>
          <w:szCs w:val="21"/>
        </w:rPr>
      </w:pPr>
      <w:r>
        <w:rPr>
          <w:rFonts w:hint="eastAsia" w:ascii="宋体" w:hAnsi="宋体"/>
          <w:sz w:val="21"/>
          <w:szCs w:val="21"/>
        </w:rPr>
        <w:t>形成性考核：</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教学部门负责设计统设课程形成性考核方案，国家开放大学西安分部教学部门负责设计非统设课程形成性考核方案。国家开放大学分部和国家开放大学分部的学习中心分别根据国家开放大学和国家开放大学分部的形成性考核方案制定实施细则，增强形成性考核的可操作性。</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习中心负责形成性考核的组织实施，国家开放大学西安分部的学习中心负责形成性考核成绩初审，国家开放大学西安分部负责形成性考核成绩复审，并对形成性考核的组织实施和质量进行监控和检查。国家开放大学负责形成性考核的指导和抽查。</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形成性考核的指导教师或辅导教师由学习中心按照有关规定聘请，一般应具有本专业初级及以上职称，有一定的教学经验，熟悉远程开放教育要求和相关规定，掌握课程形成性考核的要求。其成绩由指导教师或辅导教师按形成性考核方案或实施细则的有关标准评定。</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终结性考试：</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和国家开放大学西安分部分别负责统设课程和非统设课程终结性考试的试题、答案及评分标准的命制。采取命题组命题的方式。严格按照课程教学大纲、教材和考核说明，结合现代远程开放教育的教学特点和学习者特点，设计考试内容以及试卷的题量、题型、覆盖面和难易程度等。</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国家开放大学负责组织统设必修课程的全国统一考试，国家开放大学西安分部负责组织统设选修课程及非统设课程在本地区的统一考试。</w:t>
      </w:r>
    </w:p>
    <w:p>
      <w:pPr>
        <w:spacing w:before="240" w:after="60"/>
        <w:ind w:firstLine="482"/>
        <w:jc w:val="left"/>
        <w:outlineLvl w:val="0"/>
        <w:rPr>
          <w:rFonts w:ascii="宋体" w:hAnsi="宋体"/>
          <w:b/>
          <w:bCs/>
        </w:rPr>
      </w:pPr>
      <w:bookmarkStart w:id="79" w:name="_Toc454304997"/>
      <w:r>
        <w:rPr>
          <w:rFonts w:hint="eastAsia" w:ascii="宋体" w:hAnsi="宋体"/>
          <w:b/>
          <w:bCs/>
        </w:rPr>
        <w:t>四</w:t>
      </w:r>
      <w:r>
        <w:rPr>
          <w:rFonts w:ascii="宋体" w:hAnsi="宋体"/>
          <w:b/>
          <w:bCs/>
        </w:rPr>
        <w:t>、</w:t>
      </w:r>
      <w:r>
        <w:rPr>
          <w:rFonts w:hint="eastAsia" w:ascii="宋体" w:hAnsi="宋体"/>
          <w:b/>
          <w:bCs/>
        </w:rPr>
        <w:t>教学评价与检查</w:t>
      </w:r>
      <w:bookmarkEnd w:id="79"/>
    </w:p>
    <w:p>
      <w:pPr>
        <w:keepNext/>
        <w:keepLines/>
        <w:spacing w:beforeLines="20" w:afterLines="20"/>
        <w:ind w:firstLine="422"/>
        <w:jc w:val="left"/>
        <w:outlineLvl w:val="0"/>
        <w:rPr>
          <w:rFonts w:ascii="宋体" w:hAnsi="宋体"/>
          <w:b/>
          <w:bCs/>
          <w:kern w:val="44"/>
          <w:sz w:val="21"/>
          <w:szCs w:val="21"/>
        </w:rPr>
      </w:pPr>
      <w:bookmarkStart w:id="80" w:name="_Toc454304998"/>
      <w:r>
        <w:rPr>
          <w:rFonts w:hint="eastAsia" w:ascii="宋体" w:hAnsi="宋体"/>
          <w:b/>
          <w:bCs/>
          <w:kern w:val="44"/>
          <w:sz w:val="21"/>
          <w:szCs w:val="21"/>
        </w:rPr>
        <w:t>（</w:t>
      </w:r>
      <w:r>
        <w:rPr>
          <w:rFonts w:ascii="宋体" w:hAnsi="宋体"/>
          <w:b/>
          <w:bCs/>
          <w:kern w:val="44"/>
          <w:sz w:val="21"/>
          <w:szCs w:val="21"/>
        </w:rPr>
        <w:t>一）</w:t>
      </w:r>
      <w:r>
        <w:rPr>
          <w:rFonts w:hint="eastAsia" w:ascii="宋体" w:hAnsi="宋体"/>
          <w:b/>
          <w:bCs/>
          <w:kern w:val="44"/>
          <w:sz w:val="21"/>
          <w:szCs w:val="21"/>
        </w:rPr>
        <w:t>教学评价</w:t>
      </w:r>
      <w:bookmarkEnd w:id="80"/>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对远程开放教育进行教学评估与监控是保证教学方案实施、保证教学质量的有利手段，关系到整个试点的成功与否。评估工作要不断在实践中发现问题，解决问题，促进整体教学质量的提高。</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国家开放大学以及各分部将组成检查小组对试点单位的教学过程进行定期检查和抽查，主要包括以下内容：</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教学硬件、软件基本情况；教学资源利用情况；课程集中辅导及答疑情况；形成性考核作业、课程实验及集中实践（实训）环节实施情况；考试及试卷情况；试点分部的教学支持服务情况以及对责任教师的评判。</w:t>
      </w:r>
    </w:p>
    <w:p>
      <w:pPr>
        <w:keepNext/>
        <w:keepLines/>
        <w:spacing w:beforeLines="20" w:afterLines="20"/>
        <w:ind w:firstLine="422"/>
        <w:jc w:val="left"/>
        <w:outlineLvl w:val="0"/>
        <w:rPr>
          <w:rFonts w:ascii="宋体" w:hAnsi="宋体"/>
          <w:b/>
          <w:bCs/>
          <w:kern w:val="44"/>
          <w:sz w:val="21"/>
          <w:szCs w:val="21"/>
        </w:rPr>
      </w:pPr>
      <w:bookmarkStart w:id="81" w:name="_Toc454304999"/>
      <w:r>
        <w:rPr>
          <w:rFonts w:hint="eastAsia" w:ascii="宋体" w:hAnsi="宋体"/>
          <w:b/>
          <w:bCs/>
          <w:kern w:val="44"/>
          <w:sz w:val="21"/>
          <w:szCs w:val="21"/>
        </w:rPr>
        <w:t>（</w:t>
      </w:r>
      <w:r>
        <w:rPr>
          <w:rFonts w:ascii="宋体" w:hAnsi="宋体"/>
          <w:b/>
          <w:bCs/>
          <w:kern w:val="44"/>
          <w:sz w:val="21"/>
          <w:szCs w:val="21"/>
        </w:rPr>
        <w:t>二）教学检查</w:t>
      </w:r>
      <w:bookmarkEnd w:id="8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检查包括教师、教学管理人员和技术人员的配置、培训和职责履行情况；计算机网络及远程教学设施和实训设施的建设和使用情况；多种媒体教学资源的开发、配置和使用情况；教学模式改革和教学管理模式改革的研究及实施情况；课程实践环节的设计及实施情况，综合实践环节的设计、组织实施和考核验收等情况；教学支持服务的内容、方式及开展情况；教学全过程和主要教学环节的管理制度建设及执行情况；考点设置、考试组织实施及考风考纪情况等。</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检查要坚持综合检查与专项检查相结合，书面材料检查与实地考察、网上检查相结合的原则。国家开放大学各分部制定教学检查制度，负责教学检查的组织实施。国家开放大学和国家开放大学分部安排的教学检查由国家开放大学和国家开放大学分部分别组织实施。</w:t>
      </w:r>
    </w:p>
    <w:p>
      <w:pPr>
        <w:keepNext/>
        <w:keepLines/>
        <w:spacing w:beforeLines="20" w:afterLines="20"/>
        <w:ind w:firstLine="422"/>
        <w:jc w:val="left"/>
        <w:outlineLvl w:val="0"/>
        <w:rPr>
          <w:rFonts w:ascii="宋体" w:hAnsi="宋体"/>
          <w:b/>
          <w:bCs/>
          <w:kern w:val="44"/>
          <w:sz w:val="21"/>
          <w:szCs w:val="21"/>
        </w:rPr>
      </w:pPr>
      <w:bookmarkStart w:id="82" w:name="_Toc454305000"/>
      <w:r>
        <w:rPr>
          <w:rFonts w:hint="eastAsia" w:ascii="宋体" w:hAnsi="宋体"/>
          <w:b/>
          <w:bCs/>
          <w:kern w:val="44"/>
          <w:sz w:val="21"/>
          <w:szCs w:val="21"/>
        </w:rPr>
        <w:t>（</w:t>
      </w:r>
      <w:r>
        <w:rPr>
          <w:rFonts w:ascii="宋体" w:hAnsi="宋体"/>
          <w:b/>
          <w:bCs/>
          <w:kern w:val="44"/>
          <w:sz w:val="21"/>
          <w:szCs w:val="21"/>
        </w:rPr>
        <w:t>三）教学反馈</w:t>
      </w:r>
      <w:bookmarkEnd w:id="8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教学反馈是师生之间、学生之间多向信息交流的过程，是优化教学过程，实现教与学和谐统一的必不可少的环节，它贯穿于教学的全过程。</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教师作为课堂教学活动的组织者、引导者、参与者，通过教学反馈可以了解学生知识掌握、方法获得的情况，也可以检验自己的教学方法和教学效果，从而根据反馈信息随时调整教学进程，促进学生的发展。</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国家开放大学西安分部及其学习中心的教师应该可以通过E-mail、微信、电话、QQ等手段及时回复学生的问题，与学生交互，了解学生学习、工作、生活等情况。</w:t>
      </w:r>
    </w:p>
    <w:p>
      <w:pPr>
        <w:keepNext/>
        <w:keepLines/>
        <w:spacing w:beforeLines="20" w:afterLines="20"/>
        <w:ind w:firstLine="422"/>
        <w:jc w:val="left"/>
        <w:outlineLvl w:val="0"/>
        <w:rPr>
          <w:rFonts w:ascii="宋体" w:hAnsi="宋体"/>
          <w:b/>
          <w:bCs/>
          <w:kern w:val="44"/>
          <w:sz w:val="21"/>
          <w:szCs w:val="21"/>
        </w:rPr>
      </w:pPr>
      <w:bookmarkStart w:id="83" w:name="_Toc454305001"/>
      <w:r>
        <w:rPr>
          <w:rFonts w:hint="eastAsia" w:ascii="宋体" w:hAnsi="宋体"/>
          <w:b/>
          <w:bCs/>
          <w:kern w:val="44"/>
          <w:sz w:val="21"/>
          <w:szCs w:val="21"/>
        </w:rPr>
        <w:t>（</w:t>
      </w:r>
      <w:r>
        <w:rPr>
          <w:rFonts w:ascii="宋体" w:hAnsi="宋体"/>
          <w:b/>
          <w:bCs/>
          <w:kern w:val="44"/>
          <w:sz w:val="21"/>
          <w:szCs w:val="21"/>
        </w:rPr>
        <w:t>四）巡教巡考</w:t>
      </w:r>
      <w:bookmarkEnd w:id="83"/>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国家开放大学负责组织对国开系统的教学过程进行指导和检查，检查教学过程落实情况、考试情况、毕业实践环节的组织安排、平时作业的完成和批改情况。</w:t>
      </w:r>
    </w:p>
    <w:p>
      <w:pPr>
        <w:spacing w:before="240" w:after="60"/>
        <w:ind w:firstLine="482"/>
        <w:jc w:val="left"/>
        <w:outlineLvl w:val="0"/>
        <w:rPr>
          <w:rFonts w:ascii="宋体" w:hAnsi="宋体"/>
          <w:b/>
          <w:bCs/>
        </w:rPr>
      </w:pPr>
      <w:bookmarkStart w:id="84" w:name="_Toc454305002"/>
      <w:r>
        <w:rPr>
          <w:rFonts w:hint="eastAsia" w:ascii="宋体" w:hAnsi="宋体"/>
          <w:b/>
          <w:bCs/>
        </w:rPr>
        <w:t>五</w:t>
      </w:r>
      <w:r>
        <w:rPr>
          <w:rFonts w:ascii="宋体" w:hAnsi="宋体"/>
          <w:b/>
          <w:bCs/>
        </w:rPr>
        <w:t>、</w:t>
      </w:r>
      <w:r>
        <w:rPr>
          <w:rFonts w:hint="eastAsia" w:ascii="宋体" w:hAnsi="宋体"/>
          <w:b/>
          <w:bCs/>
        </w:rPr>
        <w:t>关于毕业证书</w:t>
      </w:r>
      <w:bookmarkEnd w:id="8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1.达到毕业要求的学生，颁发国家承认的专科毕业证书，并报教育部进行电子注册。毕业要求依据《国家开放大学学籍管理办法》的相关规定。</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2.毕业证书申请及发放程序</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（1）学生申请毕业并填写《国家开放大学毕业申请表》。</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（2）国家开放大学分部于每年6月15日前将当年1月以前（含1月）、11月30日前将当年7月以前（含7月）达到毕业要求的学生数据上报国家开放大学。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（3）国家开放大学于每年6月15日前向1月以前（含1月）达到毕业要求的学生、11月30日前向7月以前（含7月）达到毕业要求的学生颁发毕业证书。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（4）国家开放大学每年7月将当年1月、每年12月将当年7月颁发的毕业证书，报教育部进行电子注册。</w:t>
      </w: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643"/>
        <w:jc w:val="center"/>
        <w:rPr>
          <w:rFonts w:ascii="宋体" w:hAnsi="宋体"/>
          <w:b/>
          <w:bCs/>
          <w:color w:val="000000"/>
          <w:sz w:val="32"/>
          <w:szCs w:val="32"/>
        </w:rPr>
      </w:pPr>
      <w:r>
        <w:rPr>
          <w:rFonts w:hint="eastAsia" w:ascii="宋体" w:hAnsi="宋体"/>
          <w:b/>
          <w:bCs/>
          <w:color w:val="000000"/>
          <w:sz w:val="32"/>
          <w:szCs w:val="32"/>
        </w:rPr>
        <w:t>资源环境</w:t>
      </w:r>
      <w:r>
        <w:rPr>
          <w:rFonts w:ascii="宋体" w:hAnsi="宋体"/>
          <w:b/>
          <w:bCs/>
          <w:color w:val="000000"/>
          <w:sz w:val="32"/>
          <w:szCs w:val="32"/>
        </w:rPr>
        <w:t>与安全</w:t>
      </w:r>
      <w:r>
        <w:rPr>
          <w:rFonts w:hint="eastAsia" w:ascii="宋体" w:hAnsi="宋体"/>
          <w:b/>
          <w:bCs/>
          <w:color w:val="000000"/>
          <w:sz w:val="32"/>
          <w:szCs w:val="32"/>
        </w:rPr>
        <w:t>大类</w:t>
      </w:r>
    </w:p>
    <w:p>
      <w:pPr>
        <w:ind w:firstLine="0" w:firstLineChars="0"/>
        <w:jc w:val="center"/>
        <w:rPr>
          <w:rFonts w:ascii="宋体" w:hAnsi="宋体"/>
          <w:b/>
          <w:bCs/>
          <w:color w:val="000000"/>
          <w:sz w:val="32"/>
          <w:szCs w:val="32"/>
        </w:rPr>
      </w:pPr>
      <w:r>
        <w:rPr>
          <w:rFonts w:hint="eastAsia" w:ascii="宋体" w:hAnsi="宋体"/>
          <w:b/>
          <w:bCs/>
          <w:color w:val="000000"/>
          <w:sz w:val="32"/>
          <w:szCs w:val="32"/>
        </w:rPr>
        <w:t>安全类《安全技术</w:t>
      </w:r>
      <w:r>
        <w:rPr>
          <w:rFonts w:ascii="宋体" w:hAnsi="宋体"/>
          <w:b/>
          <w:bCs/>
          <w:color w:val="000000"/>
          <w:sz w:val="32"/>
          <w:szCs w:val="32"/>
        </w:rPr>
        <w:t>与管理</w:t>
      </w:r>
      <w:r>
        <w:rPr>
          <w:rFonts w:hint="eastAsia" w:ascii="宋体" w:hAnsi="宋体"/>
          <w:b/>
          <w:bCs/>
          <w:color w:val="000000"/>
          <w:sz w:val="32"/>
          <w:szCs w:val="32"/>
        </w:rPr>
        <w:t>》（专科）专业建设方案</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以适应西安区域经济社会发展对应用型人才的需求，根据长期办学优势特色，进行《安全技术与管理》（专科）专业建设工作，专业建设过程中，加强了校企合作和校校合作，充分听取了行业、企业专家对专业建设的意见，特制定了本专业建设方案。</w:t>
      </w:r>
    </w:p>
    <w:p>
      <w:pPr>
        <w:keepNext/>
        <w:keepLines/>
        <w:spacing w:beforeLines="100" w:afterLines="100"/>
        <w:ind w:firstLine="482"/>
        <w:jc w:val="left"/>
        <w:outlineLvl w:val="0"/>
        <w:rPr>
          <w:b/>
          <w:bCs/>
          <w:kern w:val="44"/>
          <w:szCs w:val="44"/>
        </w:rPr>
      </w:pPr>
      <w:bookmarkStart w:id="85" w:name="_Toc454306019"/>
      <w:r>
        <w:rPr>
          <w:rFonts w:hint="eastAsia"/>
          <w:b/>
          <w:bCs/>
          <w:kern w:val="44"/>
          <w:szCs w:val="44"/>
        </w:rPr>
        <w:t>一</w:t>
      </w:r>
      <w:r>
        <w:rPr>
          <w:b/>
          <w:bCs/>
          <w:kern w:val="44"/>
          <w:szCs w:val="44"/>
        </w:rPr>
        <w:t>、</w:t>
      </w:r>
      <w:r>
        <w:rPr>
          <w:rFonts w:hint="eastAsia"/>
          <w:b/>
          <w:bCs/>
          <w:kern w:val="44"/>
          <w:szCs w:val="44"/>
        </w:rPr>
        <w:t>专业</w:t>
      </w:r>
      <w:r>
        <w:rPr>
          <w:b/>
          <w:bCs/>
          <w:kern w:val="44"/>
          <w:szCs w:val="44"/>
        </w:rPr>
        <w:t>建设概要</w:t>
      </w:r>
      <w:bookmarkEnd w:id="8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安全技术与管理》（专科）专业建设为核心，主动适应西安市加快经济发展方式转变、产业结构调整和优化升级，坚持以服务为宗旨、以提高质量为核心，创新体制、机制，采取校企合作、校校合作，开发建设适应西安市安全技术行业的一系列专业建设标准文件，构建专业建设体系和评价机制，组建一支有专业学科带头人引领的年龄结构合理、专兼结合、实践教学能力突出的师资队伍，进行课程教学资源的开发、专业教学模式的探索与实践，实现知识、能力、素质教育的培养目标，使学生有较强的职业能力和持续发展的能力，培养面向生产、建设、管理一线，能掌握安全科学、安全工程及技术的基础理论知识，具有安全检测、安全评价、安全管理等安全核心能力的专业技术人才，并具有时代创新精神和可持续发展的能力、高素质的技术应用型人才。</w:t>
      </w:r>
    </w:p>
    <w:p>
      <w:pPr>
        <w:keepNext/>
        <w:keepLines/>
        <w:spacing w:beforeLines="100" w:afterLines="100"/>
        <w:ind w:firstLine="482"/>
        <w:jc w:val="left"/>
        <w:outlineLvl w:val="0"/>
        <w:rPr>
          <w:b/>
          <w:bCs/>
          <w:kern w:val="44"/>
          <w:szCs w:val="44"/>
        </w:rPr>
      </w:pPr>
      <w:bookmarkStart w:id="86" w:name="_Toc454306020"/>
      <w:r>
        <w:rPr>
          <w:rFonts w:hint="eastAsia"/>
          <w:b/>
          <w:bCs/>
          <w:kern w:val="44"/>
          <w:szCs w:val="44"/>
        </w:rPr>
        <w:t>二、专业建设的基础和</w:t>
      </w:r>
      <w:r>
        <w:rPr>
          <w:b/>
          <w:bCs/>
          <w:kern w:val="44"/>
          <w:szCs w:val="44"/>
        </w:rPr>
        <w:t>优势</w:t>
      </w:r>
      <w:bookmarkEnd w:id="86"/>
    </w:p>
    <w:p>
      <w:pPr>
        <w:keepNext/>
        <w:keepLines/>
        <w:spacing w:beforeLines="100" w:afterLines="100"/>
        <w:ind w:firstLine="422"/>
        <w:jc w:val="left"/>
        <w:outlineLvl w:val="0"/>
        <w:rPr>
          <w:rFonts w:ascii="宋体" w:hAnsi="宋体"/>
          <w:b/>
          <w:bCs/>
          <w:kern w:val="44"/>
          <w:sz w:val="21"/>
          <w:szCs w:val="21"/>
        </w:rPr>
      </w:pPr>
      <w:bookmarkStart w:id="87" w:name="_Toc454306021"/>
      <w:r>
        <w:rPr>
          <w:rFonts w:hint="eastAsia" w:ascii="宋体" w:hAnsi="宋体"/>
          <w:b/>
          <w:bCs/>
          <w:kern w:val="44"/>
          <w:sz w:val="21"/>
          <w:szCs w:val="21"/>
        </w:rPr>
        <w:t>（一）学校办学成熟，专业发展突出</w:t>
      </w:r>
      <w:bookmarkEnd w:id="87"/>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国家开放大学西安分部是一所以现代信息技术为主要手段，采用广播电视、文字和音像教材、计算机网络等多种现代化媒体，进行远程学历教育和非学历继续教育的综合性开放大学。</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由陕西省人民政府批准，西安市人民政府主办，西安市教育局主管，业务上接受国家开放大学指导。主要承担开放教育（本、专科）、成人大中专教育、奥鹏远程教育、社区教育、干部网络教育、残疾人教育、职业教育、继续教育等多规格、多层次的学历教育和非学历继续教育。开设理工、文法、财经、外语、医学、艺术等六类86个专业（其中开放教育本科专业21个、专科专业43个；成人大中专教育专科专业22个），现各类学历教育在校生达6.1万人，非学历继续教育年培训达5万余人次。</w:t>
      </w:r>
    </w:p>
    <w:p>
      <w:pPr>
        <w:keepNext/>
        <w:keepLines/>
        <w:spacing w:beforeLines="100" w:afterLines="100"/>
        <w:ind w:firstLine="422"/>
        <w:jc w:val="left"/>
        <w:outlineLvl w:val="0"/>
        <w:rPr>
          <w:rFonts w:ascii="宋体" w:hAnsi="宋体"/>
          <w:b/>
          <w:bCs/>
          <w:kern w:val="44"/>
          <w:sz w:val="21"/>
          <w:szCs w:val="21"/>
        </w:rPr>
      </w:pPr>
      <w:bookmarkStart w:id="88" w:name="_Toc454306022"/>
      <w:r>
        <w:rPr>
          <w:rFonts w:hint="eastAsia" w:ascii="宋体" w:hAnsi="宋体"/>
          <w:b/>
          <w:bCs/>
          <w:kern w:val="44"/>
          <w:sz w:val="21"/>
          <w:szCs w:val="21"/>
        </w:rPr>
        <w:t>（二）教学基础设备完善</w:t>
      </w:r>
      <w:bookmarkEnd w:id="88"/>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高度重视信息化硬件设施的建设，投入了大量的建设资金，为学校教学及教学管理提供了有力支撑。现有虚拟演播室两间、电子屏演播室1间、录播教室1间、云教室1间、多媒体教室45间；采用中国电信100M宽带接入，校园网千兆主干，百兆桌面；搭建了“一库多网”中心机房，配备有核心交换机、应用服务器、存储器等设备；建立有负载均衡机制、虚拟化应用系统和P2P流媒体系统。</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家开放大学西安分部教育技术与资源中心主要业务是平台研发及学习资源设计与制作。中心共24人，平均年龄28岁，所学专业有：计算机科学与技术、远程教育、教育技术、影视传媒、影视编导、动画制作等，是一个年轻化、专业化的学习型团队。在本中心“平等、开放、和谐、创新”的团队文化氛围中，在全体中心成员团结协作、刻苦钻研下，中心取得了显著的成绩。</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平台研发方面，自行研发了学生缴费平台、选修课自主学习平台、兼职教师管理系统、毕业论文远程指导系统、在线预约考试系统等学历教育平台；搭建了西安干部教育在线、西安社区大学、西安市专业技术人员继续教育网、西安学前教育培训网等非学历教育平台；开发了西安电大继续教育资源库，并整合了所有在线学习资源，实现了“一库多网”的资源共享管理模式。</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学习资源设计与制作方面，自建网络课程32门，其中《美术基础》、《音乐鉴赏》、《心理学》、《电子商务基础》、《特许经营概论》、《幼儿园班级管理》等10门网络课程分别荣获全国多媒体课件大赛一等奖。《电子商务基础》、《创新教学》、《特许经营概论》、《长安汉唐文化（地域文化）》、《金融市场》、《网站设计与规划》共6门课程分别荣获 “国家开放大学精品课程”称号。中心通过教学设计、媒体设计、拍摄剪辑和后期包装等规范化模式，自建精品微课200余门，分别荣获全国多媒体课件大赛、全国微课程大赛奖项30余个。本中心拥有两间虚拟演播室、一间传统演播室、两间录播教室，录制视频课程能力达年均300余节。</w:t>
      </w:r>
    </w:p>
    <w:p>
      <w:pPr>
        <w:keepNext/>
        <w:keepLines/>
        <w:spacing w:beforeLines="100" w:afterLines="100"/>
        <w:ind w:firstLine="422"/>
        <w:jc w:val="left"/>
        <w:outlineLvl w:val="0"/>
        <w:rPr>
          <w:rFonts w:ascii="宋体" w:hAnsi="宋体"/>
          <w:b/>
          <w:bCs/>
          <w:kern w:val="44"/>
          <w:sz w:val="21"/>
          <w:szCs w:val="21"/>
        </w:rPr>
      </w:pPr>
      <w:bookmarkStart w:id="89" w:name="_Toc454306023"/>
      <w:r>
        <w:rPr>
          <w:rFonts w:hint="eastAsia" w:ascii="宋体" w:hAnsi="宋体"/>
          <w:b/>
          <w:bCs/>
          <w:kern w:val="44"/>
          <w:sz w:val="21"/>
          <w:szCs w:val="21"/>
        </w:rPr>
        <w:t>（三）专业发展突出，初具特色</w:t>
      </w:r>
      <w:bookmarkEnd w:id="89"/>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充分发挥现代远程教育技术，培养应用型实践人才。《安全技术与管理》（专科）专业坚持“以成人教育内在规律为指导，培养社会公共安全领域应用型实践人才”的办学指导思想，结合学校现代远程教育技术优势，在课程开设、教学组织形式、教学资源建设与开发方面，以专业能力培养为主线，通过灵活设置的行业能力模块课程，积极主动迎合并引导市场需求。同时把工、学结合作为人才培养模式的重要切入点，引导课程设置、教学内容和教学方法的变化，突出职业教育的特色，全面提高成人学生的职业道德、职业能力及综合素质。</w:t>
      </w:r>
    </w:p>
    <w:p>
      <w:pPr>
        <w:keepNext/>
        <w:keepLines/>
        <w:spacing w:beforeLines="100" w:afterLines="100"/>
        <w:ind w:firstLine="422"/>
        <w:jc w:val="left"/>
        <w:outlineLvl w:val="0"/>
        <w:rPr>
          <w:rFonts w:ascii="宋体" w:hAnsi="宋体"/>
          <w:b/>
          <w:bCs/>
          <w:kern w:val="44"/>
          <w:sz w:val="21"/>
          <w:szCs w:val="21"/>
        </w:rPr>
      </w:pPr>
      <w:bookmarkStart w:id="90" w:name="_Toc454306024"/>
      <w:r>
        <w:rPr>
          <w:rFonts w:hint="eastAsia" w:ascii="宋体" w:hAnsi="宋体"/>
          <w:b/>
          <w:bCs/>
          <w:kern w:val="44"/>
          <w:sz w:val="21"/>
          <w:szCs w:val="21"/>
        </w:rPr>
        <w:t>（四）专业发展空间</w:t>
      </w:r>
      <w:bookmarkEnd w:id="90"/>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当前，我国经济发展处于“三期叠加”阶段，进入以“速度变化、结构优化、动力转化”为主要特点的新常态，传统行业的发展进入“换档期”，各类企业在顺应大势、积极转型、加快发展的同时，如果存在隐患，甚至发生事故，势必会阻碍企业乃至一个行业的进步。随着经济社会的快速发展，广大人民群众对安全生产愿望强烈，对维护自身权益日益重视，面对新常态，大家一致认为“安全无小事，生产必须安全”，在这样一个社会发展宏观环境下，为《安全技术与管理》（专科）专业建设提供了广阔空间。</w:t>
      </w:r>
    </w:p>
    <w:p>
      <w:pPr>
        <w:keepNext/>
        <w:keepLines/>
        <w:spacing w:beforeLines="100" w:afterLines="100"/>
        <w:ind w:firstLine="422"/>
        <w:jc w:val="left"/>
        <w:outlineLvl w:val="0"/>
        <w:rPr>
          <w:rFonts w:ascii="宋体" w:hAnsi="宋体"/>
          <w:b/>
          <w:bCs/>
          <w:kern w:val="44"/>
          <w:sz w:val="21"/>
          <w:szCs w:val="21"/>
        </w:rPr>
      </w:pPr>
      <w:bookmarkStart w:id="91" w:name="_Toc454306025"/>
      <w:r>
        <w:rPr>
          <w:rFonts w:hint="eastAsia" w:ascii="宋体" w:hAnsi="宋体"/>
          <w:b/>
          <w:bCs/>
          <w:kern w:val="44"/>
          <w:sz w:val="21"/>
          <w:szCs w:val="21"/>
        </w:rPr>
        <w:t>（</w:t>
      </w:r>
      <w:r>
        <w:rPr>
          <w:rFonts w:ascii="宋体" w:hAnsi="宋体"/>
          <w:b/>
          <w:bCs/>
          <w:kern w:val="44"/>
          <w:sz w:val="21"/>
          <w:szCs w:val="21"/>
        </w:rPr>
        <w:t>五）</w:t>
      </w:r>
      <w:r>
        <w:rPr>
          <w:rFonts w:hint="eastAsia" w:ascii="宋体" w:hAnsi="宋体"/>
          <w:b/>
          <w:bCs/>
          <w:kern w:val="44"/>
          <w:sz w:val="21"/>
          <w:szCs w:val="21"/>
        </w:rPr>
        <w:t>专兼职师资</w:t>
      </w:r>
      <w:r>
        <w:rPr>
          <w:rFonts w:ascii="宋体" w:hAnsi="宋体"/>
          <w:b/>
          <w:bCs/>
          <w:kern w:val="44"/>
          <w:sz w:val="21"/>
          <w:szCs w:val="21"/>
        </w:rPr>
        <w:t>团队</w:t>
      </w:r>
      <w:bookmarkEnd w:id="9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承担《安全技术与管理》（专科）专业教学管理工作的是国家开放大学西安分部理工教学部。现已全面整合了我校数学、计算机、土建、机械等专业资源，师资力量较为雄厚，教学科研基础扎实，具备开设《安全技术与管理》（专科）专业的基本条件，能够胜任《安全技术与管理》（专科）专业的教学管理工作。理工教学部现有专、兼职教师百余人，专职教师中高级职称教师占教师总数的46.67%，硕士以上学历教师占教师总数的100%。近年来，理工教学部坚持教学、科研一体化的方针，提出了“以产业定课题，以课题带科研”的思路，科研水平逐年提升。特别是安全技术管理专业近年来发展较为突出，围绕专业课程建设，组建了专、兼职互补的教学团队。</w:t>
      </w:r>
    </w:p>
    <w:p>
      <w:pPr>
        <w:keepNext/>
        <w:keepLines/>
        <w:spacing w:beforeLines="100" w:afterLines="100"/>
        <w:ind w:firstLine="482"/>
        <w:jc w:val="left"/>
        <w:outlineLvl w:val="0"/>
        <w:rPr>
          <w:b/>
          <w:bCs/>
          <w:kern w:val="44"/>
          <w:szCs w:val="44"/>
        </w:rPr>
      </w:pPr>
      <w:bookmarkStart w:id="92" w:name="_Toc454306026"/>
      <w:r>
        <w:rPr>
          <w:rFonts w:hint="eastAsia"/>
          <w:b/>
          <w:bCs/>
          <w:kern w:val="44"/>
          <w:szCs w:val="44"/>
        </w:rPr>
        <w:t>三</w:t>
      </w:r>
      <w:r>
        <w:rPr>
          <w:b/>
          <w:bCs/>
          <w:kern w:val="44"/>
          <w:szCs w:val="44"/>
        </w:rPr>
        <w:t>、</w:t>
      </w:r>
      <w:r>
        <w:rPr>
          <w:rFonts w:hint="eastAsia"/>
          <w:b/>
          <w:bCs/>
          <w:kern w:val="44"/>
          <w:szCs w:val="44"/>
        </w:rPr>
        <w:t>专业建设思路</w:t>
      </w:r>
      <w:bookmarkEnd w:id="9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安全技术与管理专业》（专科）专业建设为契机，探索专业建设和人才培养方案的设计，加强课程教学资源开发、数字化教材建设、配套教学文件建设、教学资源库建设、精品网络课程的建设与共享、师资队伍建设和实践实训基地等专业核心教学环节的建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1.立足于服务西安市区域发展，为西安市提供安全专业的技能人才。</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2.注重专业教学目标适合成人教育的培养模式，专业课程内容与职业发展相衔接。</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3.强化专业教学师资团队建设，构建开放大学的教师共享共建模式。</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4.整合共享西安区域的教学资源，突出多元化合作、实现真正意义上的开放式办学。</w:t>
      </w:r>
    </w:p>
    <w:p>
      <w:pPr>
        <w:keepNext/>
        <w:keepLines/>
        <w:spacing w:beforeLines="100" w:afterLines="100"/>
        <w:ind w:firstLine="482"/>
        <w:jc w:val="left"/>
        <w:outlineLvl w:val="0"/>
        <w:rPr>
          <w:b/>
          <w:bCs/>
          <w:kern w:val="44"/>
          <w:szCs w:val="44"/>
        </w:rPr>
      </w:pPr>
      <w:bookmarkStart w:id="93" w:name="_Toc454306027"/>
      <w:r>
        <w:rPr>
          <w:rFonts w:hint="eastAsia"/>
          <w:b/>
          <w:bCs/>
          <w:kern w:val="44"/>
          <w:szCs w:val="44"/>
        </w:rPr>
        <w:t>四、专业建设目标</w:t>
      </w:r>
      <w:bookmarkEnd w:id="93"/>
    </w:p>
    <w:p>
      <w:pPr>
        <w:keepNext/>
        <w:keepLines/>
        <w:spacing w:beforeLines="100" w:afterLines="100"/>
        <w:ind w:firstLine="422"/>
        <w:jc w:val="left"/>
        <w:outlineLvl w:val="0"/>
        <w:rPr>
          <w:rFonts w:ascii="宋体" w:hAnsi="宋体"/>
          <w:b/>
          <w:bCs/>
          <w:kern w:val="44"/>
          <w:sz w:val="21"/>
          <w:szCs w:val="21"/>
        </w:rPr>
      </w:pPr>
      <w:bookmarkStart w:id="94" w:name="_Toc454306028"/>
      <w:r>
        <w:rPr>
          <w:rFonts w:hint="eastAsia" w:ascii="宋体" w:hAnsi="宋体"/>
          <w:b/>
          <w:bCs/>
          <w:kern w:val="44"/>
          <w:sz w:val="21"/>
          <w:szCs w:val="21"/>
        </w:rPr>
        <w:t>（一）总体目标</w:t>
      </w:r>
      <w:bookmarkEnd w:id="9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国家开放大学西安分部专业建设为平台，依托我校成人高等学历教育丰富资源，在丰富的应用型人才培养经验基础上，以培养安全技术管理类应用型人才为目标。主动适应发展新常态，突出专业重点，结合学校“错位竞争、特色发展”战略，充分拓展应用型实践人才培养模式，强化成人继续教育安全技术管理类应用型人才的培养。</w:t>
      </w:r>
    </w:p>
    <w:p>
      <w:pPr>
        <w:keepNext/>
        <w:keepLines/>
        <w:spacing w:beforeLines="100" w:afterLines="100"/>
        <w:ind w:firstLine="422"/>
        <w:jc w:val="left"/>
        <w:outlineLvl w:val="0"/>
        <w:rPr>
          <w:rFonts w:ascii="宋体" w:hAnsi="宋体"/>
          <w:b/>
          <w:bCs/>
          <w:kern w:val="44"/>
          <w:sz w:val="21"/>
          <w:szCs w:val="21"/>
        </w:rPr>
      </w:pPr>
      <w:bookmarkStart w:id="95" w:name="_Toc454306029"/>
      <w:r>
        <w:rPr>
          <w:rFonts w:hint="eastAsia" w:ascii="宋体" w:hAnsi="宋体"/>
          <w:b/>
          <w:bCs/>
          <w:kern w:val="44"/>
          <w:sz w:val="21"/>
          <w:szCs w:val="21"/>
        </w:rPr>
        <w:t>（二）具体目标</w:t>
      </w:r>
      <w:bookmarkEnd w:id="9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开展《安全技术与管理》（专科）专业建设，在专业模式建设、专业师资队伍建设、专业课程体系建设、教学实验设备与安全技术管理类专业图书资料建设等方面，全面提高专业质量；进一步加强实践实训教学管理建设，全面提高实践实训教学质量，加大与实践基地相关单位和部门的合作力度，改善实践教学条件和途径，扩大应用型人才培养优势。</w:t>
      </w:r>
    </w:p>
    <w:p>
      <w:pPr>
        <w:keepNext/>
        <w:keepLines/>
        <w:spacing w:beforeLines="100" w:afterLines="100"/>
        <w:ind w:firstLine="482"/>
        <w:jc w:val="left"/>
        <w:outlineLvl w:val="0"/>
        <w:rPr>
          <w:b/>
          <w:bCs/>
          <w:kern w:val="44"/>
          <w:szCs w:val="44"/>
        </w:rPr>
      </w:pPr>
      <w:bookmarkStart w:id="96" w:name="_Toc454306030"/>
      <w:r>
        <w:rPr>
          <w:rFonts w:hint="eastAsia"/>
          <w:b/>
          <w:bCs/>
          <w:kern w:val="44"/>
          <w:szCs w:val="44"/>
        </w:rPr>
        <w:t>五、专业建设内容</w:t>
      </w:r>
      <w:bookmarkEnd w:id="96"/>
    </w:p>
    <w:p>
      <w:pPr>
        <w:keepNext/>
        <w:keepLines/>
        <w:spacing w:beforeLines="100" w:afterLines="100"/>
        <w:ind w:firstLine="422"/>
        <w:jc w:val="left"/>
        <w:outlineLvl w:val="0"/>
        <w:rPr>
          <w:rFonts w:ascii="宋体" w:hAnsi="宋体"/>
          <w:b/>
          <w:bCs/>
          <w:kern w:val="44"/>
          <w:sz w:val="21"/>
          <w:szCs w:val="21"/>
        </w:rPr>
      </w:pPr>
      <w:bookmarkStart w:id="97" w:name="_Toc454306031"/>
      <w:r>
        <w:rPr>
          <w:rFonts w:hint="eastAsia" w:ascii="宋体" w:hAnsi="宋体"/>
          <w:b/>
          <w:bCs/>
          <w:kern w:val="44"/>
          <w:sz w:val="21"/>
          <w:szCs w:val="21"/>
        </w:rPr>
        <w:t>（一）创新人才培养模式建设</w:t>
      </w:r>
      <w:bookmarkEnd w:id="97"/>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深化教育改革，创新人才培养模式。研究成人教育的内在规律，在教学组织模式、过程环节设计、教育信息技术、教学管理等方面进行深入研究与实践，在现有人才培养模式基础上，拓展创新更具有社会需求特点的培养模式，充分发挥继续教育办学效益。</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充分利用我校现代教育信息技术优势，突破传统教育模式在时空维度上对教育教学活动的限制，尝试构建成人教育活动时间、空间分布式组织与集中式组织相结合的新模式，克服成人学习工、学矛盾、学习风格特色迥异的特点，创建更多个性化学习模式，增强教学有效性，提高教学质量。探索信息技术与教育教学深度融合的人才培养模式，搭建有利于学生自主选择、自主利用业余时间安排学习的选修课学习平台。通过选修课学习平台，集成教育教学活动“教育者、教育内容、学习者”三大核心要素，克服成人教育活动中学习时间相对不足的特点，降低课堂教学时间成本，使学习者在有限的时间内能够更好地获得学习效果。</w:t>
      </w:r>
    </w:p>
    <w:p>
      <w:pPr>
        <w:keepNext/>
        <w:keepLines/>
        <w:spacing w:beforeLines="100" w:afterLines="100"/>
        <w:ind w:firstLine="422"/>
        <w:jc w:val="left"/>
        <w:outlineLvl w:val="0"/>
        <w:rPr>
          <w:rFonts w:ascii="宋体" w:hAnsi="宋体"/>
          <w:b/>
          <w:bCs/>
          <w:kern w:val="44"/>
          <w:sz w:val="21"/>
          <w:szCs w:val="21"/>
        </w:rPr>
      </w:pPr>
      <w:bookmarkStart w:id="98" w:name="_Toc454306032"/>
      <w:r>
        <w:rPr>
          <w:rFonts w:hint="eastAsia" w:ascii="宋体" w:hAnsi="宋体"/>
          <w:b/>
          <w:bCs/>
          <w:kern w:val="44"/>
          <w:sz w:val="21"/>
          <w:szCs w:val="21"/>
        </w:rPr>
        <w:t>（二）专业培养方案建设</w:t>
      </w:r>
      <w:bookmarkEnd w:id="98"/>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强化专业的社会供需特点，细分人才培养方案，依托课程建设，深化人才培养方案改革，探索立体式人才培养方案。加强《安全技术与管理》（专科）专业课程基本建设，增强专业竞争力。在充分利用现有资源的基础上，同校内其他专业、兄弟院校及科研机构实现优势互补，拓展专业方向。深化毕业实践环节教学改革，按照应用型培养目标，改革传统论文撰写为主要形式的毕业方式，遵循理论联系实际的原理，调整毕业课程与教学方案。具体课程体系如下：</w:t>
      </w:r>
    </w:p>
    <w:p>
      <w:pPr>
        <w:ind w:firstLine="422"/>
        <w:rPr>
          <w:rFonts w:ascii="宋体" w:hAnsi="宋体"/>
          <w:b/>
          <w:color w:val="000000"/>
          <w:sz w:val="21"/>
          <w:szCs w:val="21"/>
        </w:rPr>
      </w:pPr>
      <w:r>
        <w:rPr>
          <w:rFonts w:ascii="宋体" w:hAnsi="宋体"/>
          <w:b/>
          <w:color w:val="000000"/>
          <w:sz w:val="21"/>
          <w:szCs w:val="21"/>
        </w:rPr>
        <w:t>1.公共基础课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作为专科教育的公共基础课程，本专业设计了《中国特色社会主义理论体系概论》、《国家开放大学学习指南》、《英语I（1）》、《高等数学基础》、《计算机文化基础》等课程。</w:t>
      </w:r>
    </w:p>
    <w:p>
      <w:pPr>
        <w:ind w:firstLine="422"/>
        <w:rPr>
          <w:rFonts w:ascii="宋体" w:hAnsi="宋体"/>
          <w:b/>
          <w:color w:val="000000"/>
          <w:sz w:val="21"/>
          <w:szCs w:val="21"/>
        </w:rPr>
      </w:pPr>
      <w:r>
        <w:rPr>
          <w:rFonts w:ascii="宋体" w:hAnsi="宋体"/>
          <w:b/>
          <w:color w:val="000000"/>
          <w:sz w:val="21"/>
          <w:szCs w:val="21"/>
        </w:rPr>
        <w:t>2.专业基础课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作为本专业的专业基础类课程，本专业设计了《工程制图基础》、《安全系统工程》、《安全管理》、《安全原理》、《安全人机工程》、《工业通风及除尘》、《流体力学与热工学基础》、《安全管理文书写作》、《信息管理系统》等课程。</w:t>
      </w:r>
    </w:p>
    <w:p>
      <w:pPr>
        <w:ind w:firstLine="422"/>
        <w:rPr>
          <w:rFonts w:ascii="宋体" w:hAnsi="宋体"/>
          <w:b/>
          <w:color w:val="000000"/>
          <w:sz w:val="21"/>
          <w:szCs w:val="21"/>
        </w:rPr>
      </w:pPr>
      <w:r>
        <w:rPr>
          <w:rFonts w:ascii="宋体" w:hAnsi="宋体"/>
          <w:b/>
          <w:color w:val="000000"/>
          <w:sz w:val="21"/>
          <w:szCs w:val="21"/>
        </w:rPr>
        <w:t>3.专业课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了适应人才培养的要求，考虑到西安市安监局和西安市消防总局的工作需要，在公共基础课程与专业基础课程的基础上，本专业充分考虑了安全技术管理人才所共需的相关专业技能要求，设计了《特种设备安全》、《事故管理与应急处置》、《防火防爆技术》、《电气安全技术》、《职业卫生基础》、《安全评价》、《安全监测与监控》、《安全法规》、《高危行业安全》、《工程项目管理》等课程。</w:t>
      </w:r>
    </w:p>
    <w:p>
      <w:pPr>
        <w:ind w:firstLine="422"/>
        <w:rPr>
          <w:rFonts w:ascii="宋体" w:hAnsi="宋体"/>
          <w:b/>
          <w:color w:val="000000"/>
          <w:sz w:val="21"/>
          <w:szCs w:val="21"/>
        </w:rPr>
      </w:pPr>
      <w:bookmarkStart w:id="99" w:name="_Toc264671090"/>
      <w:bookmarkStart w:id="100" w:name="_Toc264671689"/>
      <w:r>
        <w:rPr>
          <w:rFonts w:ascii="宋体" w:hAnsi="宋体"/>
          <w:b/>
          <w:color w:val="000000"/>
          <w:sz w:val="21"/>
          <w:szCs w:val="21"/>
        </w:rPr>
        <w:t>4.</w:t>
      </w:r>
      <w:r>
        <w:rPr>
          <w:rFonts w:hint="eastAsia" w:ascii="宋体" w:hAnsi="宋体"/>
          <w:b/>
          <w:color w:val="000000"/>
          <w:sz w:val="21"/>
          <w:szCs w:val="21"/>
        </w:rPr>
        <w:t>通识课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识课程通过知识的基础性、整体性、综合性、广博性，使学生拓宽视野，培养独立思考与判断能力。该模块的主要专业课程有：《地域文化》、《社交礼仪》、《实用法律基础》、《实用写作》、《安全评价》、《汉唐文化》等课程。</w:t>
      </w:r>
    </w:p>
    <w:p>
      <w:pPr>
        <w:ind w:firstLine="422"/>
        <w:rPr>
          <w:rFonts w:ascii="宋体" w:hAnsi="宋体"/>
          <w:b/>
          <w:color w:val="000000"/>
          <w:sz w:val="21"/>
          <w:szCs w:val="21"/>
        </w:rPr>
      </w:pPr>
      <w:r>
        <w:rPr>
          <w:rFonts w:ascii="宋体" w:hAnsi="宋体"/>
          <w:b/>
          <w:color w:val="000000"/>
          <w:sz w:val="21"/>
          <w:szCs w:val="21"/>
        </w:rPr>
        <w:t>5.</w:t>
      </w:r>
      <w:r>
        <w:rPr>
          <w:rFonts w:hint="eastAsia" w:ascii="宋体" w:hAnsi="宋体"/>
          <w:b/>
          <w:color w:val="000000"/>
          <w:sz w:val="21"/>
          <w:szCs w:val="21"/>
        </w:rPr>
        <w:t>综合实践</w:t>
      </w:r>
    </w:p>
    <w:bookmarkEnd w:id="99"/>
    <w:bookmarkEnd w:id="100"/>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专业开设的实践教学，分为课程实践教学与专业综合实践教学两类。以安全技术管理活动为主要内容，学生应根据课题的要求，综合运用所学的专业知识，完成综合实践环节的学习任务。应用型人才的培养目标旨在课程教学中提高学生的综合素质与能力，使学生能够在毕业综合实践环节中充分运用。在此指导思想下，创新综合实践环节的课程设计形式、教学组织方式、师生教学交互机制、课程教学管理机制等模式。</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综合实践环节开设的内容有：《毕业实践》、《工业通风除尘课程设计》、《防火防爆课程设计》、《安全评价课程设计》、《职业危害因素分析评价》。</w:t>
      </w:r>
    </w:p>
    <w:p>
      <w:pPr>
        <w:ind w:firstLine="422"/>
        <w:rPr>
          <w:rFonts w:ascii="宋体" w:hAnsi="宋体"/>
          <w:b/>
          <w:color w:val="000000"/>
          <w:sz w:val="21"/>
          <w:szCs w:val="21"/>
        </w:rPr>
      </w:pPr>
      <w:r>
        <w:rPr>
          <w:rFonts w:ascii="宋体" w:hAnsi="宋体"/>
          <w:b/>
          <w:color w:val="000000"/>
          <w:sz w:val="21"/>
          <w:szCs w:val="21"/>
        </w:rPr>
        <w:t>6.</w:t>
      </w:r>
      <w:r>
        <w:rPr>
          <w:rFonts w:hint="eastAsia" w:ascii="宋体" w:hAnsi="宋体"/>
          <w:b/>
          <w:color w:val="000000"/>
          <w:sz w:val="21"/>
          <w:szCs w:val="21"/>
        </w:rPr>
        <w:t>特色</w:t>
      </w:r>
      <w:r>
        <w:rPr>
          <w:rFonts w:ascii="宋体" w:hAnsi="宋体"/>
          <w:b/>
          <w:color w:val="000000"/>
          <w:sz w:val="21"/>
          <w:szCs w:val="21"/>
        </w:rPr>
        <w:t>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了更好地提高《安全技术与管理》（专科）专业学生的学习效果，不断更新教育理念，让本专业的学生能接受高素质教育，促进学生在专业技能方面的全方位发展，激发学生产生主动学习的兴趣，以及增强多种能力的发展，提高学生的职业技能，特制定了《消防安全》、《建筑施工安全》、《安全工程师培训》课程。</w:t>
      </w:r>
    </w:p>
    <w:p>
      <w:pPr>
        <w:keepNext/>
        <w:keepLines/>
        <w:spacing w:beforeLines="100" w:afterLines="100"/>
        <w:ind w:firstLine="422"/>
        <w:jc w:val="left"/>
        <w:outlineLvl w:val="0"/>
        <w:rPr>
          <w:rFonts w:ascii="宋体" w:hAnsi="宋体"/>
          <w:b/>
          <w:bCs/>
          <w:kern w:val="44"/>
          <w:sz w:val="21"/>
          <w:szCs w:val="21"/>
        </w:rPr>
      </w:pPr>
      <w:bookmarkStart w:id="101" w:name="_Toc454306033"/>
      <w:r>
        <w:rPr>
          <w:rFonts w:hint="eastAsia" w:ascii="宋体" w:hAnsi="宋体"/>
          <w:b/>
          <w:bCs/>
          <w:kern w:val="44"/>
          <w:sz w:val="21"/>
          <w:szCs w:val="21"/>
        </w:rPr>
        <w:t>（三）专业教学</w:t>
      </w:r>
      <w:r>
        <w:rPr>
          <w:rFonts w:ascii="宋体" w:hAnsi="宋体"/>
          <w:b/>
          <w:bCs/>
          <w:kern w:val="44"/>
          <w:sz w:val="21"/>
          <w:szCs w:val="21"/>
        </w:rPr>
        <w:t>团队</w:t>
      </w:r>
      <w:r>
        <w:rPr>
          <w:rFonts w:hint="eastAsia" w:ascii="宋体" w:hAnsi="宋体"/>
          <w:b/>
          <w:bCs/>
          <w:kern w:val="44"/>
          <w:sz w:val="21"/>
          <w:szCs w:val="21"/>
        </w:rPr>
        <w:t>建设</w:t>
      </w:r>
      <w:bookmarkEnd w:id="10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重视师资队伍的作用，完善教学团队协同工作模式。加大师资队伍建设力度，加强专业带头人和骨干教师的培养，优化师资队伍结构。根据我校实际情况，在今后几年中将依据建设需要，重点引进专业带头人和发展潜力突出的年轻硕士、博士，建设一支学术思想活跃、科研能力强、理论水平高的教学、科研队伍。</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1.采取各种优惠政策吸引高学历、高职称人才。引进能胜任安全技术管理教学和科研工作的教授或博士3～5人，硕士研究生3人以上，形成具有较深厚专业业务能力的学科带头人领导的优秀教学团队。</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2.鼓励现有教师进修深造。每年选派两名以上教师到重点普通高校相关系、科进修，特别是着力培养35岁以下有培养潜力的青年教师，大力支持青年教师攻读该专业的硕士、博士学位。</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3.充分发挥学校多年系统办学的优势，组建具有动态流动的兼职教师队伍。以当前兼职教师队伍为基础，遴选优秀教师参与课程体系建设、教学模式探索，提升整体教师队伍专业建设与课程教学的水平。</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4.外聘专家教授。聘请安全技术管理领域专家和国内知名教授担任客座教授，建立一支稳定的兼职教授队伍。</w:t>
      </w:r>
    </w:p>
    <w:p>
      <w:pPr>
        <w:keepNext/>
        <w:keepLines/>
        <w:spacing w:beforeLines="100" w:afterLines="100"/>
        <w:ind w:firstLine="422"/>
        <w:jc w:val="left"/>
        <w:outlineLvl w:val="0"/>
        <w:rPr>
          <w:rFonts w:ascii="宋体" w:hAnsi="宋体"/>
          <w:b/>
          <w:bCs/>
          <w:kern w:val="44"/>
          <w:sz w:val="21"/>
          <w:szCs w:val="21"/>
        </w:rPr>
      </w:pPr>
      <w:bookmarkStart w:id="102" w:name="_Toc454306034"/>
      <w:r>
        <w:rPr>
          <w:rFonts w:hint="eastAsia" w:ascii="宋体" w:hAnsi="宋体"/>
          <w:b/>
          <w:bCs/>
          <w:kern w:val="44"/>
          <w:sz w:val="21"/>
          <w:szCs w:val="21"/>
        </w:rPr>
        <w:t>（四）教学资源建设与共享</w:t>
      </w:r>
      <w:bookmarkEnd w:id="10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发挥教育信息技术的教育能效，建设并扩大优质资源辐射面。以学校远程教育优势资源为依托，结合学校网络课程、微课程、小课件等多种形式教学资源及其建设经验，在较短时间内建成更加丰富、具有良好教学效果、能够多向共享的优质资源。加强核心课程、网络课程建设力度，适应选修课教学平台的资源需求，力争在建设周期内，建成2～3门网络课程。积极参加精品课程建设与评选，力求1门专业课程被评为“省级精品课程”，1门校级“精品课程”。突破常规教学资源建设思路，围绕核心课程进行微课程、小课件等多种形式教学资源建设，为探索翻转式课堂教学等教学改革提供资源支持。加大移动课程资源建设力度，满足成人学习移动性强、碎片性强等新的时代特点，为建构立体式成人教育教学模式提供有力支撑。</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以资源建设为支点，加强学分银行体系建设，使普通高等教育、继续高等教育、非学历教育等多种形式的课程在高质量教学资源教育基础上，实现学分互换，增强继续教育教学灵活性，提高既有教学资源使用效率，更好地为终身教育服务。</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进行考试资源建设，探索改变传统纸质考试形式，研究开发随机考试资源，利用学校远程教育教学平台优势，开发课程考试平台，建设符合现代成人学习对象特点的题库，丰富考试评价途径。</w:t>
      </w:r>
    </w:p>
    <w:p>
      <w:pPr>
        <w:keepNext/>
        <w:keepLines/>
        <w:spacing w:beforeLines="100" w:afterLines="100"/>
        <w:ind w:firstLine="422"/>
        <w:jc w:val="left"/>
        <w:outlineLvl w:val="0"/>
        <w:rPr>
          <w:rFonts w:ascii="宋体" w:hAnsi="宋体"/>
          <w:b/>
          <w:bCs/>
          <w:kern w:val="44"/>
          <w:sz w:val="21"/>
          <w:szCs w:val="21"/>
        </w:rPr>
      </w:pPr>
      <w:bookmarkStart w:id="103" w:name="_Toc454306035"/>
      <w:r>
        <w:rPr>
          <w:rFonts w:hint="eastAsia" w:ascii="宋体" w:hAnsi="宋体"/>
          <w:b/>
          <w:bCs/>
          <w:kern w:val="44"/>
          <w:sz w:val="21"/>
          <w:szCs w:val="21"/>
        </w:rPr>
        <w:t>（五）质量评价监控体系建设</w:t>
      </w:r>
      <w:bookmarkEnd w:id="103"/>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加强专业建设过程中教育教学内部评价与外部评价协同，建成系统全面的教学质量保障体系。建立完善的教学管理监督评价体系，包括以专业负责人和教研室主任、教学督导员为主，组建教学质量评价组织，形成学校督导组、专业教学检查组、专业教师等多层次的相互听课制度，全面实行学分制管理，积极健全教学管理与评估体系，利用外部教育质量评价体系来提升内部教学质量建设。</w:t>
      </w:r>
    </w:p>
    <w:p>
      <w:pPr>
        <w:keepNext/>
        <w:keepLines/>
        <w:spacing w:beforeLines="100" w:afterLines="100"/>
        <w:ind w:firstLine="422"/>
        <w:jc w:val="left"/>
        <w:outlineLvl w:val="0"/>
        <w:rPr>
          <w:rFonts w:ascii="宋体" w:hAnsi="宋体"/>
          <w:b/>
          <w:bCs/>
          <w:kern w:val="44"/>
          <w:sz w:val="21"/>
          <w:szCs w:val="21"/>
        </w:rPr>
      </w:pPr>
      <w:bookmarkStart w:id="104" w:name="_Toc454306036"/>
      <w:r>
        <w:rPr>
          <w:rFonts w:hint="eastAsia" w:ascii="宋体" w:hAnsi="宋体"/>
          <w:b/>
          <w:bCs/>
          <w:kern w:val="44"/>
          <w:sz w:val="21"/>
          <w:szCs w:val="21"/>
        </w:rPr>
        <w:t>（六）教学改革与研究</w:t>
      </w:r>
      <w:bookmarkEnd w:id="10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坚持教师专业发展促进专业特色内涵积淀，以教育教学实践为本，进行教、学、研的深入改革。积极支持教师开展基于学科专业发展的学术教研与科研活动，扶持和帮助教师进行学术交流和研究，申报相关课题，并努力将教学改革研究成果应用于实践，产生一定的实效。</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特别是围绕专业建设中的应用型人才培养模式、立体式人才培养方案，进行教学组织模式、考试评价机制、现代教学资源建设、信息技术与成人继续教育深度整合等课题，进行深入研究。既丰富了成人高等继续教育的内涵与外延，又为专业特色建设积累了丰富的资料与经验，从而全面推进专业建设。</w:t>
      </w:r>
    </w:p>
    <w:p>
      <w:pPr>
        <w:keepNext/>
        <w:keepLines/>
        <w:spacing w:beforeLines="100" w:afterLines="100"/>
        <w:ind w:firstLine="482"/>
        <w:jc w:val="left"/>
        <w:outlineLvl w:val="0"/>
        <w:rPr>
          <w:b/>
          <w:bCs/>
          <w:kern w:val="44"/>
          <w:szCs w:val="44"/>
        </w:rPr>
      </w:pPr>
      <w:bookmarkStart w:id="105" w:name="_Toc454306037"/>
      <w:r>
        <w:rPr>
          <w:rFonts w:hint="eastAsia"/>
          <w:b/>
          <w:bCs/>
          <w:kern w:val="44"/>
          <w:szCs w:val="44"/>
        </w:rPr>
        <w:t>六、建设进度规划</w:t>
      </w:r>
      <w:bookmarkEnd w:id="10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建设的主要内容包括：课程资源建设、教材（讲义）建设、适于远程教学的教育教学改革、校内（校外）实训基地建设和师资队伍建设。</w:t>
      </w:r>
    </w:p>
    <w:p>
      <w:pPr>
        <w:keepNext/>
        <w:keepLines/>
        <w:spacing w:beforeLines="100" w:afterLines="100"/>
        <w:ind w:firstLine="422"/>
        <w:jc w:val="left"/>
        <w:outlineLvl w:val="0"/>
        <w:rPr>
          <w:rFonts w:ascii="宋体" w:hAnsi="宋体"/>
          <w:b/>
          <w:bCs/>
          <w:kern w:val="44"/>
          <w:sz w:val="21"/>
          <w:szCs w:val="21"/>
        </w:rPr>
      </w:pPr>
      <w:bookmarkStart w:id="106" w:name="_Toc454306038"/>
      <w:r>
        <w:rPr>
          <w:rFonts w:hint="eastAsia" w:ascii="宋体" w:hAnsi="宋体"/>
          <w:b/>
          <w:bCs/>
          <w:kern w:val="44"/>
          <w:sz w:val="21"/>
          <w:szCs w:val="21"/>
        </w:rPr>
        <w:t>（一</w:t>
      </w:r>
      <w:r>
        <w:rPr>
          <w:rFonts w:ascii="宋体" w:hAnsi="宋体"/>
          <w:b/>
          <w:bCs/>
          <w:kern w:val="44"/>
          <w:sz w:val="21"/>
          <w:szCs w:val="21"/>
        </w:rPr>
        <w:t>）</w:t>
      </w:r>
      <w:r>
        <w:rPr>
          <w:rFonts w:hint="eastAsia" w:ascii="宋体" w:hAnsi="宋体"/>
          <w:b/>
          <w:bCs/>
          <w:kern w:val="44"/>
          <w:sz w:val="21"/>
          <w:szCs w:val="21"/>
        </w:rPr>
        <w:t>建设进度</w:t>
      </w:r>
      <w:bookmarkEnd w:id="106"/>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本专业建设周期计划2年，主要按三个阶段顺次进行：</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第一阶段（2015年4月～2015年12月）：编制建设方案，进行可行性论证，填写建设任务书，总结和整理专业建设的现有成果和资料，为全面展开建设工作奠定基础。</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阶段（2016年1月～2016年5月）：实施年度计划，按照计划建设内容，对人才培养模式和方案进行实证性研究改进，明确具有特色特点的培养方案。以专业课程建设为抓手，对教学团队进行建设，拓展实践教学条件，优化现有教学资源与条件，提升资源建设质量水平，建成一批具有专业适应性的课程资源，并进行多向共享实践。加强质量监管体系完善，建成具有内、外部相互结合的质量评价体系，推进教学改进，以改革促进教学创新，以创新促进专业建设。</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第三阶段（2016年6月～2017年2月）：进一步完善之前专业建设成果，使其更加精细，调整环节中的细节缺陷。总结并推广专业建设成果，丰富高等继续教育特色专业的建设经验。</w:t>
      </w:r>
    </w:p>
    <w:p>
      <w:pPr>
        <w:keepNext/>
        <w:keepLines/>
        <w:spacing w:beforeLines="100" w:afterLines="100"/>
        <w:ind w:left="562" w:firstLine="0" w:firstLineChars="0"/>
        <w:jc w:val="left"/>
        <w:outlineLvl w:val="0"/>
        <w:rPr>
          <w:rFonts w:ascii="宋体" w:hAnsi="宋体"/>
          <w:b/>
          <w:bCs/>
          <w:kern w:val="44"/>
          <w:sz w:val="21"/>
          <w:szCs w:val="21"/>
        </w:rPr>
      </w:pPr>
      <w:bookmarkStart w:id="107" w:name="_Toc454306039"/>
      <w:r>
        <w:rPr>
          <w:rFonts w:hint="eastAsia" w:ascii="宋体" w:hAnsi="宋体"/>
          <w:b/>
          <w:bCs/>
          <w:kern w:val="44"/>
          <w:sz w:val="21"/>
          <w:szCs w:val="21"/>
        </w:rPr>
        <w:t>（二）教学资源建设</w:t>
      </w:r>
      <w:bookmarkEnd w:id="107"/>
    </w:p>
    <w:p>
      <w:pPr>
        <w:ind w:firstLine="422"/>
        <w:rPr>
          <w:rFonts w:ascii="宋体" w:hAnsi="宋体"/>
          <w:b/>
          <w:color w:val="000000"/>
          <w:sz w:val="21"/>
          <w:szCs w:val="21"/>
        </w:rPr>
      </w:pPr>
      <w:r>
        <w:rPr>
          <w:rFonts w:ascii="宋体" w:hAnsi="宋体"/>
          <w:b/>
          <w:color w:val="000000"/>
          <w:sz w:val="21"/>
          <w:szCs w:val="21"/>
        </w:rPr>
        <w:t>1.多媒体课件与课堂录像</w:t>
      </w:r>
    </w:p>
    <w:p>
      <w:pPr>
        <w:ind w:firstLine="420"/>
        <w:rPr>
          <w:rFonts w:ascii="宋体" w:hAnsi="宋体"/>
          <w:color w:val="000000"/>
          <w:sz w:val="21"/>
          <w:szCs w:val="21"/>
        </w:rPr>
      </w:pPr>
      <w:r>
        <w:rPr>
          <w:rFonts w:ascii="宋体" w:hAnsi="宋体"/>
          <w:color w:val="000000"/>
          <w:sz w:val="21"/>
          <w:szCs w:val="21"/>
        </w:rPr>
        <w:t>两年内完成全部课程的课件制作，并保证教学使用。</w:t>
      </w:r>
    </w:p>
    <w:p>
      <w:pPr>
        <w:ind w:firstLine="560" w:firstLineChars="0"/>
        <w:rPr>
          <w:rFonts w:ascii="宋体" w:hAnsi="宋体"/>
          <w:b/>
          <w:color w:val="000000"/>
          <w:sz w:val="21"/>
          <w:szCs w:val="21"/>
        </w:rPr>
      </w:pPr>
      <w:r>
        <w:rPr>
          <w:rFonts w:ascii="宋体" w:hAnsi="宋体"/>
          <w:b/>
          <w:color w:val="000000"/>
          <w:sz w:val="21"/>
          <w:szCs w:val="21"/>
        </w:rPr>
        <w:t>2.文</w:t>
      </w:r>
      <w:r>
        <w:rPr>
          <w:rFonts w:hint="eastAsia" w:ascii="宋体" w:hAnsi="宋体"/>
          <w:b/>
          <w:color w:val="000000"/>
          <w:sz w:val="21"/>
          <w:szCs w:val="21"/>
        </w:rPr>
        <w:t>字教材</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材采用自建、共建和引进三种方式完成。本专业将结合行业特点，开发突出专业职业能力的教材（讲义），联合部分兄弟院校共同开展课程资源建设及专业建设工作，同时将引进西安建筑科技大学资深教授参编和主审，采用引进的方式，吸收系统外优质教材或教学资源。将在2016年内完成全部课程的讲义审定，确保完成全部必修课程的教材由中央广播电视大学正式出版。</w:t>
      </w:r>
    </w:p>
    <w:p>
      <w:pPr>
        <w:ind w:firstLine="560" w:firstLineChars="0"/>
        <w:rPr>
          <w:rFonts w:ascii="宋体" w:hAnsi="宋体"/>
          <w:b/>
          <w:color w:val="000000"/>
          <w:sz w:val="21"/>
          <w:szCs w:val="21"/>
        </w:rPr>
      </w:pPr>
      <w:r>
        <w:rPr>
          <w:rFonts w:ascii="宋体" w:hAnsi="宋体"/>
          <w:b/>
          <w:color w:val="000000"/>
          <w:sz w:val="21"/>
          <w:szCs w:val="21"/>
        </w:rPr>
        <w:t>3.卷库和题库</w:t>
      </w:r>
    </w:p>
    <w:p>
      <w:pPr>
        <w:ind w:firstLine="420"/>
        <w:rPr>
          <w:rFonts w:ascii="宋体" w:hAnsi="宋体"/>
          <w:color w:val="000000"/>
          <w:sz w:val="21"/>
          <w:szCs w:val="21"/>
        </w:rPr>
      </w:pPr>
      <w:r>
        <w:rPr>
          <w:rFonts w:ascii="宋体" w:hAnsi="宋体"/>
          <w:color w:val="000000"/>
          <w:sz w:val="21"/>
          <w:szCs w:val="21"/>
        </w:rPr>
        <w:t>2017年6</w:t>
      </w:r>
      <w:r>
        <w:rPr>
          <w:rFonts w:hint="eastAsia" w:ascii="宋体" w:hAnsi="宋体"/>
          <w:color w:val="000000"/>
          <w:sz w:val="21"/>
          <w:szCs w:val="21"/>
        </w:rPr>
        <w:t>月内完成全部选修课程的随机题库建设，并保证教学使用；必修课程采用</w:t>
      </w:r>
      <w:r>
        <w:rPr>
          <w:rFonts w:ascii="宋体" w:hAnsi="宋体"/>
          <w:color w:val="000000"/>
          <w:sz w:val="21"/>
          <w:szCs w:val="21"/>
        </w:rPr>
        <w:t>国家开放大学和西安建筑科技大学的已有课程教学资源以及</w:t>
      </w:r>
      <w:r>
        <w:rPr>
          <w:rFonts w:hint="eastAsia" w:ascii="宋体" w:hAnsi="宋体"/>
          <w:color w:val="000000"/>
          <w:sz w:val="21"/>
          <w:szCs w:val="21"/>
        </w:rPr>
        <w:t>试题</w:t>
      </w:r>
      <w:r>
        <w:rPr>
          <w:rFonts w:ascii="宋体" w:hAnsi="宋体"/>
          <w:color w:val="000000"/>
          <w:sz w:val="21"/>
          <w:szCs w:val="21"/>
        </w:rPr>
        <w:t>，根据西安当地特色进行</w:t>
      </w:r>
      <w:r>
        <w:rPr>
          <w:rFonts w:hint="eastAsia" w:ascii="宋体" w:hAnsi="宋体"/>
          <w:color w:val="000000"/>
          <w:sz w:val="21"/>
          <w:szCs w:val="21"/>
        </w:rPr>
        <w:t>修订</w:t>
      </w:r>
      <w:r>
        <w:rPr>
          <w:rFonts w:ascii="宋体" w:hAnsi="宋体"/>
          <w:color w:val="000000"/>
          <w:sz w:val="21"/>
          <w:szCs w:val="21"/>
        </w:rPr>
        <w:t>和补充</w:t>
      </w:r>
      <w:r>
        <w:rPr>
          <w:rFonts w:hint="eastAsia" w:ascii="宋体" w:hAnsi="宋体"/>
          <w:color w:val="000000"/>
          <w:sz w:val="21"/>
          <w:szCs w:val="21"/>
        </w:rPr>
        <w:t>。</w:t>
      </w:r>
    </w:p>
    <w:p>
      <w:pPr>
        <w:ind w:left="640" w:firstLine="0" w:firstLineChars="0"/>
        <w:rPr>
          <w:rFonts w:ascii="宋体" w:hAnsi="宋体"/>
          <w:b/>
          <w:color w:val="000000"/>
          <w:sz w:val="21"/>
          <w:szCs w:val="21"/>
        </w:rPr>
      </w:pPr>
    </w:p>
    <w:p>
      <w:pPr>
        <w:ind w:left="640" w:firstLine="0" w:firstLineChars="0"/>
        <w:rPr>
          <w:rFonts w:ascii="宋体" w:hAnsi="宋体"/>
          <w:b/>
          <w:color w:val="000000"/>
          <w:sz w:val="21"/>
          <w:szCs w:val="21"/>
        </w:rPr>
      </w:pPr>
    </w:p>
    <w:p>
      <w:pPr>
        <w:ind w:left="640" w:firstLine="0" w:firstLineChars="0"/>
        <w:rPr>
          <w:rFonts w:ascii="宋体" w:hAnsi="宋体"/>
          <w:b/>
          <w:color w:val="000000"/>
          <w:sz w:val="21"/>
          <w:szCs w:val="21"/>
        </w:rPr>
      </w:pPr>
    </w:p>
    <w:p>
      <w:pPr>
        <w:ind w:left="640" w:firstLine="0" w:firstLineChars="0"/>
        <w:rPr>
          <w:rFonts w:ascii="宋体" w:hAnsi="宋体"/>
          <w:b/>
          <w:color w:val="000000"/>
          <w:sz w:val="21"/>
          <w:szCs w:val="21"/>
        </w:rPr>
      </w:pPr>
      <w:r>
        <w:rPr>
          <w:rFonts w:ascii="宋体" w:hAnsi="宋体"/>
          <w:b/>
          <w:color w:val="000000"/>
          <w:sz w:val="21"/>
          <w:szCs w:val="21"/>
        </w:rPr>
        <w:t>4.</w:t>
      </w:r>
      <w:r>
        <w:rPr>
          <w:rFonts w:hint="eastAsia" w:ascii="宋体" w:hAnsi="宋体"/>
          <w:b/>
          <w:color w:val="000000"/>
          <w:sz w:val="21"/>
          <w:szCs w:val="21"/>
        </w:rPr>
        <w:t>教学资源情况表</w:t>
      </w:r>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124"/>
        <w:gridCol w:w="32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38" w:type="dxa"/>
            <w:shd w:val="clear" w:color="auto" w:fill="auto"/>
            <w:vAlign w:val="center"/>
          </w:tcPr>
          <w:p>
            <w:pPr>
              <w:ind w:firstLine="0" w:firstLineChars="0"/>
              <w:jc w:val="center"/>
              <w:rPr>
                <w:rFonts w:ascii="宋体" w:hAnsi="宋体"/>
                <w:b/>
                <w:snapToGrid w:val="0"/>
                <w:color w:val="000000"/>
                <w:sz w:val="21"/>
                <w:szCs w:val="21"/>
              </w:rPr>
            </w:pPr>
            <w:r>
              <w:rPr>
                <w:rFonts w:hint="eastAsia" w:ascii="宋体" w:hAnsi="宋体"/>
                <w:b/>
                <w:snapToGrid w:val="0"/>
                <w:color w:val="000000"/>
                <w:sz w:val="21"/>
                <w:szCs w:val="21"/>
              </w:rPr>
              <w:t>序号</w:t>
            </w:r>
          </w:p>
        </w:tc>
        <w:tc>
          <w:tcPr>
            <w:tcW w:w="4124" w:type="dxa"/>
            <w:shd w:val="clear" w:color="auto" w:fill="auto"/>
            <w:vAlign w:val="center"/>
          </w:tcPr>
          <w:p>
            <w:pPr>
              <w:ind w:firstLine="0" w:firstLineChars="0"/>
              <w:jc w:val="center"/>
              <w:rPr>
                <w:rFonts w:ascii="宋体" w:hAnsi="宋体"/>
                <w:b/>
                <w:color w:val="000000"/>
                <w:sz w:val="21"/>
                <w:szCs w:val="21"/>
              </w:rPr>
            </w:pPr>
            <w:r>
              <w:rPr>
                <w:rFonts w:hint="eastAsia" w:ascii="宋体" w:hAnsi="宋体"/>
                <w:b/>
                <w:snapToGrid w:val="0"/>
                <w:color w:val="000000"/>
                <w:sz w:val="21"/>
                <w:szCs w:val="21"/>
              </w:rPr>
              <w:t>课程名称</w:t>
            </w:r>
          </w:p>
        </w:tc>
        <w:tc>
          <w:tcPr>
            <w:tcW w:w="3255" w:type="dxa"/>
            <w:shd w:val="clear" w:color="auto" w:fill="auto"/>
            <w:vAlign w:val="center"/>
          </w:tcPr>
          <w:p>
            <w:pPr>
              <w:ind w:firstLine="0" w:firstLineChars="0"/>
              <w:jc w:val="center"/>
              <w:rPr>
                <w:rFonts w:ascii="宋体" w:hAnsi="宋体"/>
                <w:b/>
                <w:color w:val="000000"/>
                <w:sz w:val="21"/>
                <w:szCs w:val="21"/>
              </w:rPr>
            </w:pPr>
            <w:r>
              <w:rPr>
                <w:rFonts w:hint="eastAsia" w:ascii="宋体" w:hAnsi="宋体"/>
                <w:b/>
                <w:color w:val="000000"/>
                <w:sz w:val="21"/>
                <w:szCs w:val="21"/>
              </w:rPr>
              <w:t>教学</w:t>
            </w:r>
            <w:r>
              <w:rPr>
                <w:rFonts w:ascii="宋体" w:hAnsi="宋体"/>
                <w:b/>
                <w:color w:val="000000"/>
                <w:sz w:val="21"/>
                <w:szCs w:val="21"/>
              </w:rPr>
              <w:t>资源建设情况</w:t>
            </w:r>
          </w:p>
        </w:tc>
        <w:tc>
          <w:tcPr>
            <w:tcW w:w="850" w:type="dxa"/>
            <w:shd w:val="clear" w:color="auto" w:fill="auto"/>
            <w:vAlign w:val="center"/>
          </w:tcPr>
          <w:p>
            <w:pPr>
              <w:ind w:firstLine="0" w:firstLineChars="0"/>
              <w:jc w:val="center"/>
              <w:rPr>
                <w:rFonts w:ascii="宋体" w:hAnsi="宋体"/>
                <w:b/>
                <w:color w:val="000000"/>
                <w:sz w:val="21"/>
                <w:szCs w:val="21"/>
              </w:rPr>
            </w:pPr>
            <w:r>
              <w:rPr>
                <w:rFonts w:hint="eastAsia" w:ascii="宋体" w:hAnsi="宋体"/>
                <w:b/>
                <w:color w:val="000000"/>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中国特色社会主义理论体系概论</w:t>
            </w:r>
          </w:p>
        </w:tc>
        <w:tc>
          <w:tcPr>
            <w:tcW w:w="3255" w:type="dxa"/>
            <w:vMerge w:val="restart"/>
            <w:shd w:val="clear" w:color="auto" w:fill="auto"/>
            <w:vAlign w:val="center"/>
          </w:tcPr>
          <w:p>
            <w:pPr>
              <w:ind w:firstLine="0" w:firstLineChars="0"/>
              <w:jc w:val="center"/>
              <w:rPr>
                <w:rFonts w:ascii="宋体" w:hAnsi="宋体"/>
                <w:color w:val="000000"/>
                <w:sz w:val="21"/>
                <w:szCs w:val="21"/>
              </w:rPr>
            </w:pPr>
            <w:r>
              <w:rPr>
                <w:rFonts w:hint="eastAsia" w:ascii="宋体" w:hAnsi="宋体"/>
                <w:color w:val="000000"/>
                <w:sz w:val="21"/>
                <w:szCs w:val="21"/>
              </w:rPr>
              <w:t>国家开放大学已开设的课程</w:t>
            </w: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国家开放大学学习指南</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高等数学</w:t>
            </w:r>
            <w:r>
              <w:rPr>
                <w:rFonts w:ascii="宋体" w:hAnsi="宋体" w:cs="宋体"/>
                <w:color w:val="000000"/>
                <w:kern w:val="1"/>
                <w:sz w:val="21"/>
                <w:szCs w:val="21"/>
              </w:rPr>
              <w:t>基础</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工程制图基础</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安全管理</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w:t>
            </w:r>
            <w:r>
              <w:rPr>
                <w:rFonts w:ascii="宋体" w:hAnsi="宋体" w:cs="宋体"/>
                <w:color w:val="000000"/>
                <w:kern w:val="1"/>
                <w:sz w:val="21"/>
                <w:szCs w:val="21"/>
              </w:rPr>
              <w:t>系统工程</w:t>
            </w:r>
          </w:p>
        </w:tc>
        <w:tc>
          <w:tcPr>
            <w:tcW w:w="3255" w:type="dxa"/>
            <w:vMerge w:val="restart"/>
            <w:shd w:val="clear" w:color="auto" w:fill="auto"/>
            <w:vAlign w:val="center"/>
          </w:tcPr>
          <w:p>
            <w:pPr>
              <w:ind w:firstLine="0" w:firstLineChars="0"/>
              <w:jc w:val="center"/>
              <w:rPr>
                <w:rFonts w:ascii="宋体" w:hAnsi="宋体"/>
                <w:color w:val="000000"/>
                <w:sz w:val="21"/>
                <w:szCs w:val="21"/>
              </w:rPr>
            </w:pPr>
            <w:r>
              <w:rPr>
                <w:rFonts w:hint="eastAsia" w:ascii="宋体" w:hAnsi="宋体"/>
                <w:color w:val="000000"/>
                <w:sz w:val="21"/>
                <w:szCs w:val="21"/>
              </w:rPr>
              <w:t>与</w:t>
            </w:r>
            <w:r>
              <w:rPr>
                <w:rFonts w:ascii="宋体" w:hAnsi="宋体"/>
                <w:color w:val="000000"/>
                <w:sz w:val="21"/>
                <w:szCs w:val="21"/>
              </w:rPr>
              <w:t>西安建筑科技大学联合开发课程教学资源。</w:t>
            </w: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w:t>
            </w:r>
            <w:r>
              <w:rPr>
                <w:rFonts w:ascii="宋体" w:hAnsi="宋体" w:cs="宋体"/>
                <w:color w:val="000000"/>
                <w:kern w:val="1"/>
                <w:sz w:val="21"/>
                <w:szCs w:val="21"/>
              </w:rPr>
              <w:t>原理</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w:t>
            </w:r>
            <w:r>
              <w:rPr>
                <w:rFonts w:ascii="宋体" w:hAnsi="宋体" w:cs="宋体"/>
                <w:color w:val="000000"/>
                <w:kern w:val="1"/>
                <w:sz w:val="21"/>
                <w:szCs w:val="21"/>
              </w:rPr>
              <w:t>人机工程</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工</w:t>
            </w:r>
            <w:r>
              <w:rPr>
                <w:rFonts w:ascii="宋体" w:hAnsi="宋体" w:cs="宋体"/>
                <w:color w:val="000000"/>
                <w:kern w:val="1"/>
                <w:sz w:val="21"/>
                <w:szCs w:val="21"/>
              </w:rPr>
              <w:t>业</w:t>
            </w:r>
            <w:r>
              <w:rPr>
                <w:rFonts w:hint="eastAsia" w:ascii="宋体" w:hAnsi="宋体" w:cs="宋体"/>
                <w:color w:val="000000"/>
                <w:kern w:val="1"/>
                <w:sz w:val="21"/>
                <w:szCs w:val="21"/>
              </w:rPr>
              <w:t>通风及</w:t>
            </w:r>
            <w:r>
              <w:rPr>
                <w:rFonts w:ascii="宋体" w:hAnsi="宋体" w:cs="宋体"/>
                <w:color w:val="000000"/>
                <w:kern w:val="1"/>
                <w:sz w:val="21"/>
                <w:szCs w:val="21"/>
              </w:rPr>
              <w:t>除尘</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流体力</w:t>
            </w:r>
            <w:r>
              <w:rPr>
                <w:rFonts w:ascii="宋体" w:hAnsi="宋体" w:cs="宋体"/>
                <w:color w:val="000000"/>
                <w:kern w:val="1"/>
                <w:sz w:val="21"/>
                <w:szCs w:val="21"/>
              </w:rPr>
              <w:t>学与热工学基础</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安全管理文书写作</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信息管理</w:t>
            </w:r>
            <w:r>
              <w:rPr>
                <w:rFonts w:ascii="宋体" w:hAnsi="宋体"/>
                <w:color w:val="000000"/>
                <w:kern w:val="1"/>
                <w:sz w:val="21"/>
                <w:szCs w:val="21"/>
              </w:rPr>
              <w:t>系统</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特种设备安全</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事故管理与应急处置</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防火防爆技术</w:t>
            </w:r>
          </w:p>
        </w:tc>
        <w:tc>
          <w:tcPr>
            <w:tcW w:w="3255" w:type="dxa"/>
            <w:vMerge w:val="continue"/>
            <w:shd w:val="clear" w:color="auto" w:fill="auto"/>
            <w:vAlign w:val="center"/>
          </w:tcPr>
          <w:p>
            <w:pPr>
              <w:ind w:firstLine="0" w:firstLineChars="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电气安全技术</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职业卫生基础</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安全评价</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color w:val="000000"/>
                <w:kern w:val="1"/>
                <w:sz w:val="21"/>
                <w:szCs w:val="21"/>
              </w:rPr>
              <w:t>安全监测与监控</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安全法规</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高危行业安全</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olor w:val="000000"/>
                <w:kern w:val="1"/>
                <w:sz w:val="21"/>
                <w:szCs w:val="21"/>
              </w:rPr>
              <w:t>工程项目管理</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毕业实践</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工业通风除尘课程设计</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防火防爆课程设计</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安全评价课程设计</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olor w:val="000000"/>
                <w:kern w:val="1"/>
                <w:sz w:val="21"/>
                <w:szCs w:val="21"/>
              </w:rPr>
            </w:pPr>
            <w:r>
              <w:rPr>
                <w:rFonts w:hint="eastAsia" w:ascii="宋体" w:hAnsi="宋体"/>
                <w:color w:val="000000"/>
                <w:kern w:val="1"/>
                <w:sz w:val="21"/>
                <w:szCs w:val="21"/>
              </w:rPr>
              <w:t>职业危害</w:t>
            </w:r>
            <w:r>
              <w:rPr>
                <w:rFonts w:ascii="宋体" w:hAnsi="宋体"/>
                <w:color w:val="000000"/>
                <w:kern w:val="1"/>
                <w:sz w:val="21"/>
                <w:szCs w:val="21"/>
              </w:rPr>
              <w:t>因素分析</w:t>
            </w:r>
            <w:r>
              <w:rPr>
                <w:rFonts w:hint="eastAsia" w:ascii="宋体" w:hAnsi="宋体"/>
                <w:color w:val="000000"/>
                <w:kern w:val="1"/>
                <w:sz w:val="21"/>
                <w:szCs w:val="21"/>
              </w:rPr>
              <w:t>评价</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消防安全</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建筑施工安全</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38" w:type="dxa"/>
            <w:shd w:val="clear" w:color="auto" w:fill="auto"/>
          </w:tcPr>
          <w:p>
            <w:pPr>
              <w:numPr>
                <w:ilvl w:val="0"/>
                <w:numId w:val="6"/>
              </w:numPr>
              <w:ind w:firstLineChars="0"/>
              <w:jc w:val="left"/>
              <w:rPr>
                <w:rFonts w:ascii="宋体" w:hAnsi="宋体" w:cs="宋体"/>
                <w:color w:val="000000"/>
                <w:kern w:val="1"/>
                <w:sz w:val="21"/>
                <w:szCs w:val="21"/>
              </w:rPr>
            </w:pPr>
          </w:p>
        </w:tc>
        <w:tc>
          <w:tcPr>
            <w:tcW w:w="4124"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安全工程师培训</w:t>
            </w:r>
            <w:r>
              <w:rPr>
                <w:rFonts w:ascii="宋体" w:hAnsi="宋体" w:cs="宋体"/>
                <w:color w:val="000000"/>
                <w:kern w:val="1"/>
                <w:sz w:val="21"/>
                <w:szCs w:val="21"/>
              </w:rPr>
              <w:t>课程</w:t>
            </w:r>
          </w:p>
        </w:tc>
        <w:tc>
          <w:tcPr>
            <w:tcW w:w="3255" w:type="dxa"/>
            <w:vMerge w:val="continue"/>
            <w:shd w:val="clear" w:color="auto" w:fill="auto"/>
            <w:vAlign w:val="center"/>
          </w:tcPr>
          <w:p>
            <w:pPr>
              <w:ind w:firstLine="420"/>
              <w:jc w:val="center"/>
              <w:rPr>
                <w:rFonts w:ascii="宋体" w:hAnsi="宋体"/>
                <w:color w:val="000000"/>
                <w:sz w:val="21"/>
                <w:szCs w:val="21"/>
              </w:rPr>
            </w:pPr>
          </w:p>
        </w:tc>
        <w:tc>
          <w:tcPr>
            <w:tcW w:w="850" w:type="dxa"/>
            <w:shd w:val="clear" w:color="auto" w:fill="auto"/>
            <w:vAlign w:val="center"/>
          </w:tcPr>
          <w:p>
            <w:pPr>
              <w:ind w:firstLine="0" w:firstLineChars="0"/>
              <w:jc w:val="center"/>
              <w:rPr>
                <w:rFonts w:ascii="宋体" w:hAnsi="宋体"/>
                <w:color w:val="000000"/>
                <w:sz w:val="21"/>
                <w:szCs w:val="21"/>
              </w:rPr>
            </w:pPr>
            <w:r>
              <w:rPr>
                <w:rFonts w:ascii="宋体" w:hAnsi="宋体"/>
                <w:color w:val="000000"/>
                <w:sz w:val="21"/>
                <w:szCs w:val="21"/>
              </w:rPr>
              <w:t>5</w:t>
            </w:r>
          </w:p>
        </w:tc>
      </w:tr>
    </w:tbl>
    <w:p>
      <w:pPr>
        <w:ind w:left="640" w:firstLine="0" w:firstLineChars="0"/>
        <w:rPr>
          <w:rFonts w:ascii="宋体" w:hAnsi="宋体"/>
          <w:b/>
          <w:color w:val="000000"/>
          <w:sz w:val="21"/>
          <w:szCs w:val="21"/>
        </w:rPr>
      </w:pPr>
    </w:p>
    <w:p>
      <w:pPr>
        <w:ind w:left="640" w:firstLine="0" w:firstLineChars="0"/>
        <w:rPr>
          <w:rFonts w:ascii="宋体" w:hAnsi="宋体"/>
          <w:b/>
          <w:color w:val="000000"/>
          <w:sz w:val="21"/>
          <w:szCs w:val="21"/>
        </w:rPr>
      </w:pPr>
      <w:r>
        <w:rPr>
          <w:rFonts w:ascii="宋体" w:hAnsi="宋体"/>
          <w:b/>
          <w:color w:val="000000"/>
          <w:sz w:val="21"/>
          <w:szCs w:val="21"/>
        </w:rPr>
        <w:t>5.2016年秋（第一学期）教学资源到位情况</w:t>
      </w:r>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41"/>
        <w:gridCol w:w="2409"/>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15"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b/>
                <w:color w:val="000000"/>
                <w:kern w:val="1"/>
                <w:sz w:val="21"/>
                <w:szCs w:val="21"/>
              </w:rPr>
              <w:t>序号</w:t>
            </w:r>
          </w:p>
        </w:tc>
        <w:tc>
          <w:tcPr>
            <w:tcW w:w="2441"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b/>
                <w:color w:val="000000"/>
                <w:kern w:val="1"/>
                <w:sz w:val="21"/>
                <w:szCs w:val="21"/>
              </w:rPr>
              <w:t>课程名称</w:t>
            </w:r>
          </w:p>
        </w:tc>
        <w:tc>
          <w:tcPr>
            <w:tcW w:w="2409"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b/>
                <w:color w:val="000000"/>
                <w:kern w:val="1"/>
                <w:sz w:val="21"/>
                <w:szCs w:val="21"/>
              </w:rPr>
              <w:t>教材名称</w:t>
            </w:r>
          </w:p>
        </w:tc>
        <w:tc>
          <w:tcPr>
            <w:tcW w:w="2410"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b/>
                <w:color w:val="000000"/>
                <w:kern w:val="1"/>
                <w:sz w:val="21"/>
                <w:szCs w:val="21"/>
              </w:rPr>
              <w:t>主编\作者</w:t>
            </w:r>
          </w:p>
        </w:tc>
        <w:tc>
          <w:tcPr>
            <w:tcW w:w="992" w:type="dxa"/>
            <w:shd w:val="clear" w:color="auto" w:fill="auto"/>
            <w:vAlign w:val="center"/>
          </w:tcPr>
          <w:p>
            <w:pPr>
              <w:ind w:firstLine="0" w:firstLineChars="0"/>
              <w:jc w:val="center"/>
              <w:rPr>
                <w:rFonts w:ascii="宋体" w:hAnsi="宋体" w:cs="宋体"/>
                <w:b/>
                <w:color w:val="000000"/>
                <w:kern w:val="1"/>
                <w:sz w:val="21"/>
                <w:szCs w:val="21"/>
              </w:rPr>
            </w:pPr>
            <w:r>
              <w:rPr>
                <w:rFonts w:hint="eastAsia" w:ascii="宋体" w:hAnsi="宋体" w:cs="宋体"/>
                <w:b/>
                <w:color w:val="000000"/>
                <w:kern w:val="1"/>
                <w:sz w:val="21"/>
                <w:szCs w:val="21"/>
              </w:rPr>
              <w:t>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1</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中国特色社会主义理论体系概论</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中国特色社会主义理论体系概论</w:t>
            </w:r>
          </w:p>
        </w:tc>
        <w:tc>
          <w:tcPr>
            <w:tcW w:w="2410"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陈占安</w:t>
            </w:r>
            <w:r>
              <w:fldChar w:fldCharType="begin"/>
            </w:r>
            <w:r>
              <w:instrText xml:space="preserve"> HYPERLINK "http://search.wl.cn/search.aspx?index=2&amp;q=%e5%85%a8%e5%9b%bd%e9%ab%98%e6%a0%a1%e7%bd%91%e7%bb%9c%e6%95%99%e8%82%b2%e8%80%83%e8%af%95%e5%a7%94%e5%91%98%e4%bc%9a%e5%8a%9e%e5%85%ac%e5%ae%a4%e7%bb%84%e7%bc%96" \t "_blank" </w:instrText>
            </w:r>
            <w:r>
              <w:fldChar w:fldCharType="separate"/>
            </w:r>
            <w:r>
              <w:fldChar w:fldCharType="end"/>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张宇</w:t>
            </w:r>
            <w:r>
              <w:fldChar w:fldCharType="begin"/>
            </w:r>
            <w:r>
              <w:instrText xml:space="preserve"> HYPERLINK "http://search.wl.cn/search.aspx?index=2&amp;q=%e5%85%a8%e5%9b%bd%e9%ab%98%e6%a0%a1%e7%bd%91%e7%bb%9c%e6%95%99%e8%82%b2%e8%80%83%e8%af%95%e5%a7%94%e5%91%98%e4%bc%9a%e5%8a%9e%e5%85%ac%e5%ae%a4%e7%bb%84%e7%bc%96" \t "_blank" </w:instrText>
            </w:r>
            <w:r>
              <w:fldChar w:fldCharType="separate"/>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2</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国家开放大学学习指南</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国家开放大学学习指南</w:t>
            </w:r>
          </w:p>
        </w:tc>
        <w:tc>
          <w:tcPr>
            <w:tcW w:w="2410"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杨志坚</w:t>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3</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英语</w:t>
            </w:r>
            <w:r>
              <w:rPr>
                <w:rFonts w:hint="eastAsia" w:ascii="宋体" w:hAnsi="宋体" w:cs="宋体"/>
                <w:color w:val="000000"/>
                <w:kern w:val="1"/>
                <w:sz w:val="21"/>
                <w:szCs w:val="21"/>
              </w:rPr>
              <w:t>Ⅰ（</w:t>
            </w:r>
            <w:r>
              <w:rPr>
                <w:rFonts w:ascii="宋体" w:hAnsi="宋体" w:cs="宋体"/>
                <w:color w:val="000000"/>
                <w:kern w:val="1"/>
                <w:sz w:val="21"/>
                <w:szCs w:val="21"/>
              </w:rPr>
              <w:t>1</w:t>
            </w:r>
            <w:r>
              <w:rPr>
                <w:rFonts w:hint="eastAsia" w:ascii="宋体" w:hAnsi="宋体" w:cs="宋体"/>
                <w:color w:val="000000"/>
                <w:kern w:val="1"/>
                <w:sz w:val="21"/>
                <w:szCs w:val="21"/>
              </w:rPr>
              <w:t>）</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英语</w:t>
            </w:r>
            <w:r>
              <w:rPr>
                <w:rFonts w:hint="eastAsia" w:ascii="宋体" w:hAnsi="宋体" w:cs="宋体"/>
                <w:color w:val="000000"/>
                <w:kern w:val="1"/>
                <w:sz w:val="21"/>
                <w:szCs w:val="21"/>
              </w:rPr>
              <w:t>Ⅰ（</w:t>
            </w:r>
            <w:r>
              <w:rPr>
                <w:rFonts w:ascii="宋体" w:hAnsi="宋体" w:cs="宋体"/>
                <w:color w:val="000000"/>
                <w:kern w:val="1"/>
                <w:sz w:val="21"/>
                <w:szCs w:val="21"/>
              </w:rPr>
              <w:t>1</w:t>
            </w:r>
            <w:r>
              <w:rPr>
                <w:rFonts w:hint="eastAsia" w:ascii="宋体" w:hAnsi="宋体" w:cs="宋体"/>
                <w:color w:val="000000"/>
                <w:kern w:val="1"/>
                <w:sz w:val="21"/>
                <w:szCs w:val="21"/>
              </w:rPr>
              <w:t>）</w:t>
            </w:r>
          </w:p>
        </w:tc>
        <w:tc>
          <w:tcPr>
            <w:tcW w:w="2410" w:type="dxa"/>
            <w:shd w:val="clear" w:color="auto" w:fill="auto"/>
            <w:vAlign w:val="center"/>
          </w:tcPr>
          <w:p>
            <w:pPr>
              <w:ind w:firstLine="0" w:firstLineChars="0"/>
              <w:jc w:val="center"/>
              <w:rPr>
                <w:rFonts w:ascii="宋体" w:hAnsi="宋体"/>
                <w:sz w:val="21"/>
                <w:szCs w:val="21"/>
              </w:rPr>
            </w:pPr>
            <w:r>
              <w:rPr>
                <w:rFonts w:hint="eastAsia" w:ascii="宋体" w:hAnsi="宋体"/>
                <w:sz w:val="21"/>
                <w:szCs w:val="21"/>
              </w:rPr>
              <w:t>（英）Duncan Sidwell刘黛琳</w:t>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韩喜春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4</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高等</w:t>
            </w:r>
            <w:r>
              <w:rPr>
                <w:rFonts w:ascii="宋体" w:hAnsi="宋体" w:cs="宋体"/>
                <w:color w:val="000000"/>
                <w:kern w:val="1"/>
                <w:sz w:val="21"/>
                <w:szCs w:val="21"/>
              </w:rPr>
              <w:t>数</w:t>
            </w:r>
            <w:r>
              <w:rPr>
                <w:rFonts w:hint="eastAsia" w:ascii="宋体" w:hAnsi="宋体" w:cs="宋体"/>
                <w:color w:val="000000"/>
                <w:kern w:val="1"/>
                <w:sz w:val="21"/>
                <w:szCs w:val="21"/>
              </w:rPr>
              <w:t>学</w:t>
            </w:r>
            <w:r>
              <w:rPr>
                <w:rFonts w:ascii="宋体" w:hAnsi="宋体" w:cs="宋体"/>
                <w:color w:val="000000"/>
                <w:kern w:val="1"/>
                <w:sz w:val="21"/>
                <w:szCs w:val="21"/>
              </w:rPr>
              <w:t>基础</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微积分基础</w:t>
            </w:r>
          </w:p>
        </w:tc>
        <w:tc>
          <w:tcPr>
            <w:tcW w:w="2410"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赵坚</w:t>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侯新昌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5</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工程制图基础</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工程制图基础</w:t>
            </w:r>
          </w:p>
        </w:tc>
        <w:tc>
          <w:tcPr>
            <w:tcW w:w="2410" w:type="dxa"/>
            <w:shd w:val="clear" w:color="auto" w:fill="auto"/>
            <w:vAlign w:val="center"/>
          </w:tcPr>
          <w:p>
            <w:pPr>
              <w:ind w:firstLine="0" w:firstLineChars="0"/>
              <w:jc w:val="center"/>
              <w:rPr>
                <w:rFonts w:ascii="宋体" w:hAnsi="宋体" w:cs="宋体"/>
                <w:color w:val="000000"/>
                <w:kern w:val="1"/>
                <w:sz w:val="21"/>
                <w:szCs w:val="21"/>
              </w:rPr>
            </w:pPr>
            <w:r>
              <w:fldChar w:fldCharType="begin"/>
            </w:r>
            <w:r>
              <w:instrText xml:space="preserve"> HYPERLINK "http://book.kongfz.com/author/y0zk7126k6c38k548ck20/" \t "_blank" \o "焦永和 " </w:instrText>
            </w:r>
            <w:r>
              <w:fldChar w:fldCharType="separate"/>
            </w:r>
            <w:r>
              <w:rPr>
                <w:rFonts w:ascii="宋体" w:hAnsi="宋体" w:cs="宋体"/>
                <w:color w:val="000000"/>
                <w:kern w:val="1"/>
                <w:sz w:val="21"/>
                <w:szCs w:val="21"/>
              </w:rPr>
              <w:t>焦永和</w:t>
            </w:r>
            <w:r>
              <w:rPr>
                <w:rFonts w:ascii="宋体" w:hAnsi="宋体" w:cs="宋体"/>
                <w:color w:val="000000"/>
                <w:kern w:val="1"/>
                <w:sz w:val="21"/>
                <w:szCs w:val="21"/>
              </w:rPr>
              <w:fldChar w:fldCharType="end"/>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严峥嵘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 w:type="dxa"/>
            <w:shd w:val="clear" w:color="auto" w:fill="auto"/>
            <w:vAlign w:val="center"/>
          </w:tcPr>
          <w:p>
            <w:pPr>
              <w:ind w:firstLine="0" w:firstLineChars="0"/>
              <w:jc w:val="center"/>
              <w:rPr>
                <w:rFonts w:ascii="宋体" w:hAnsi="宋体"/>
                <w:color w:val="000000"/>
                <w:kern w:val="1"/>
                <w:sz w:val="21"/>
                <w:szCs w:val="21"/>
              </w:rPr>
            </w:pPr>
            <w:r>
              <w:rPr>
                <w:rFonts w:ascii="宋体" w:hAnsi="宋体"/>
                <w:color w:val="000000"/>
                <w:kern w:val="1"/>
                <w:sz w:val="21"/>
                <w:szCs w:val="21"/>
              </w:rPr>
              <w:t>6</w:t>
            </w:r>
          </w:p>
        </w:tc>
        <w:tc>
          <w:tcPr>
            <w:tcW w:w="2441" w:type="dxa"/>
            <w:shd w:val="clear" w:color="auto" w:fill="auto"/>
            <w:vAlign w:val="center"/>
          </w:tcPr>
          <w:p>
            <w:pPr>
              <w:ind w:firstLine="0" w:firstLineChars="0"/>
              <w:jc w:val="center"/>
              <w:rPr>
                <w:rFonts w:ascii="宋体" w:hAnsi="宋体" w:cs="宋体"/>
                <w:color w:val="000000"/>
                <w:kern w:val="1"/>
                <w:sz w:val="21"/>
                <w:szCs w:val="21"/>
              </w:rPr>
            </w:pPr>
            <w:r>
              <w:rPr>
                <w:rFonts w:ascii="宋体" w:hAnsi="宋体" w:cs="宋体"/>
                <w:color w:val="000000"/>
                <w:kern w:val="1"/>
                <w:sz w:val="21"/>
                <w:szCs w:val="21"/>
              </w:rPr>
              <w:t>安全系统工程</w:t>
            </w:r>
          </w:p>
        </w:tc>
        <w:tc>
          <w:tcPr>
            <w:tcW w:w="2409"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安全</w:t>
            </w:r>
            <w:r>
              <w:rPr>
                <w:rFonts w:ascii="宋体" w:hAnsi="宋体" w:cs="宋体"/>
                <w:color w:val="000000"/>
                <w:kern w:val="1"/>
                <w:sz w:val="21"/>
                <w:szCs w:val="21"/>
              </w:rPr>
              <w:t>系统工程</w:t>
            </w:r>
          </w:p>
        </w:tc>
        <w:tc>
          <w:tcPr>
            <w:tcW w:w="2410"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徐</w:t>
            </w:r>
            <w:r>
              <w:rPr>
                <w:rFonts w:ascii="宋体" w:hAnsi="宋体" w:cs="宋体"/>
                <w:color w:val="000000"/>
                <w:kern w:val="1"/>
                <w:sz w:val="21"/>
                <w:szCs w:val="21"/>
              </w:rPr>
              <w:t>志胜</w:t>
            </w:r>
          </w:p>
        </w:tc>
        <w:tc>
          <w:tcPr>
            <w:tcW w:w="992" w:type="dxa"/>
            <w:shd w:val="clear" w:color="auto" w:fill="auto"/>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林</w:t>
            </w:r>
            <w:r>
              <w:rPr>
                <w:rFonts w:ascii="宋体" w:hAnsi="宋体" w:cs="宋体"/>
                <w:color w:val="000000"/>
                <w:kern w:val="1"/>
                <w:sz w:val="21"/>
                <w:szCs w:val="21"/>
              </w:rPr>
              <w:t>海飞</w:t>
            </w:r>
          </w:p>
        </w:tc>
      </w:tr>
    </w:tbl>
    <w:p>
      <w:pPr>
        <w:ind w:left="640" w:firstLine="0" w:firstLineChars="0"/>
        <w:rPr>
          <w:rFonts w:ascii="宋体" w:hAnsi="宋体"/>
          <w:b/>
          <w:color w:val="000000"/>
          <w:sz w:val="21"/>
          <w:szCs w:val="21"/>
        </w:rPr>
      </w:pPr>
    </w:p>
    <w:p>
      <w:pPr>
        <w:ind w:left="640" w:firstLine="0" w:firstLineChars="0"/>
        <w:rPr>
          <w:rFonts w:ascii="宋体" w:hAnsi="宋体"/>
          <w:b/>
          <w:color w:val="000000"/>
          <w:sz w:val="21"/>
          <w:szCs w:val="21"/>
        </w:rPr>
      </w:pPr>
      <w:r>
        <w:rPr>
          <w:rFonts w:ascii="宋体" w:hAnsi="宋体"/>
          <w:b/>
          <w:color w:val="000000"/>
          <w:sz w:val="21"/>
          <w:szCs w:val="21"/>
        </w:rPr>
        <w:t>6.实训基地建设</w:t>
      </w:r>
    </w:p>
    <w:p>
      <w:pPr>
        <w:ind w:firstLine="420"/>
        <w:rPr>
          <w:rFonts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z w:val="21"/>
          <w:szCs w:val="21"/>
        </w:rPr>
        <w:t>目前已确定的第一批校外实践基地名单：</w:t>
      </w:r>
    </w:p>
    <w:tbl>
      <w:tblPr>
        <w:tblStyle w:val="16"/>
        <w:tblW w:w="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6" w:type="dxa"/>
            <w:vAlign w:val="center"/>
          </w:tcPr>
          <w:p>
            <w:pPr>
              <w:ind w:firstLine="0" w:firstLineChars="0"/>
              <w:jc w:val="center"/>
              <w:rPr>
                <w:rFonts w:ascii="宋体" w:hAnsi="宋体"/>
                <w:b/>
                <w:color w:val="000000"/>
                <w:sz w:val="21"/>
                <w:szCs w:val="21"/>
              </w:rPr>
            </w:pPr>
            <w:r>
              <w:rPr>
                <w:rFonts w:hint="eastAsia" w:ascii="宋体" w:hAnsi="宋体"/>
                <w:b/>
                <w:color w:val="000000"/>
                <w:sz w:val="21"/>
                <w:szCs w:val="21"/>
              </w:rPr>
              <w:t>序号</w:t>
            </w:r>
          </w:p>
        </w:tc>
        <w:tc>
          <w:tcPr>
            <w:tcW w:w="4083" w:type="dxa"/>
            <w:vAlign w:val="center"/>
          </w:tcPr>
          <w:p>
            <w:pPr>
              <w:ind w:firstLine="0" w:firstLineChars="0"/>
              <w:jc w:val="center"/>
              <w:rPr>
                <w:rFonts w:ascii="宋体" w:hAnsi="宋体"/>
                <w:b/>
                <w:color w:val="000000"/>
                <w:sz w:val="21"/>
                <w:szCs w:val="21"/>
              </w:rPr>
            </w:pPr>
            <w:r>
              <w:rPr>
                <w:rFonts w:hint="eastAsia" w:ascii="宋体" w:hAnsi="宋体"/>
                <w:b/>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1</w:t>
            </w:r>
          </w:p>
        </w:tc>
        <w:tc>
          <w:tcPr>
            <w:tcW w:w="4083"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西安</w:t>
            </w:r>
            <w:r>
              <w:rPr>
                <w:rFonts w:ascii="宋体" w:hAnsi="宋体"/>
                <w:color w:val="000000"/>
                <w:sz w:val="21"/>
                <w:szCs w:val="21"/>
              </w:rPr>
              <w:t>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2</w:t>
            </w:r>
          </w:p>
        </w:tc>
        <w:tc>
          <w:tcPr>
            <w:tcW w:w="4083" w:type="dxa"/>
            <w:vAlign w:val="center"/>
          </w:tcPr>
          <w:p>
            <w:pPr>
              <w:ind w:firstLine="0" w:firstLineChars="0"/>
              <w:jc w:val="center"/>
              <w:rPr>
                <w:rFonts w:ascii="宋体" w:hAnsi="宋体"/>
                <w:color w:val="000000"/>
                <w:sz w:val="21"/>
                <w:szCs w:val="21"/>
              </w:rPr>
            </w:pPr>
            <w:r>
              <w:rPr>
                <w:rFonts w:ascii="宋体" w:hAnsi="宋体"/>
                <w:color w:val="000000"/>
                <w:sz w:val="21"/>
                <w:szCs w:val="21"/>
              </w:rPr>
              <w:t>职业卫生监管局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3</w:t>
            </w:r>
          </w:p>
        </w:tc>
        <w:tc>
          <w:tcPr>
            <w:tcW w:w="4083" w:type="dxa"/>
            <w:vAlign w:val="center"/>
          </w:tcPr>
          <w:p>
            <w:pPr>
              <w:ind w:firstLine="0" w:firstLineChars="0"/>
              <w:jc w:val="center"/>
              <w:rPr>
                <w:rFonts w:ascii="宋体" w:hAnsi="宋体"/>
                <w:color w:val="000000"/>
                <w:sz w:val="21"/>
                <w:szCs w:val="21"/>
              </w:rPr>
            </w:pPr>
            <w:r>
              <w:rPr>
                <w:rFonts w:ascii="宋体" w:hAnsi="宋体"/>
                <w:color w:val="000000"/>
                <w:sz w:val="21"/>
                <w:szCs w:val="21"/>
              </w:rPr>
              <w:t>公路</w:t>
            </w:r>
            <w:r>
              <w:rPr>
                <w:rFonts w:hint="eastAsia" w:ascii="宋体" w:hAnsi="宋体"/>
                <w:color w:val="000000"/>
                <w:sz w:val="21"/>
                <w:szCs w:val="21"/>
              </w:rPr>
              <w:t>安全调查</w:t>
            </w:r>
            <w:r>
              <w:rPr>
                <w:rFonts w:ascii="宋体" w:hAnsi="宋体"/>
                <w:color w:val="00000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4</w:t>
            </w:r>
          </w:p>
        </w:tc>
        <w:tc>
          <w:tcPr>
            <w:tcW w:w="4083" w:type="dxa"/>
            <w:vAlign w:val="center"/>
          </w:tcPr>
          <w:p>
            <w:pPr>
              <w:ind w:firstLine="0" w:firstLineChars="0"/>
              <w:jc w:val="center"/>
              <w:rPr>
                <w:rFonts w:ascii="宋体" w:hAnsi="宋体"/>
                <w:color w:val="000000"/>
                <w:sz w:val="21"/>
                <w:szCs w:val="21"/>
              </w:rPr>
            </w:pPr>
            <w:r>
              <w:rPr>
                <w:rFonts w:hint="eastAsia" w:ascii="宋体" w:hAnsi="宋体"/>
                <w:color w:val="000000"/>
                <w:sz w:val="21"/>
                <w:szCs w:val="21"/>
              </w:rPr>
              <w:t>道路</w:t>
            </w:r>
            <w:r>
              <w:rPr>
                <w:rFonts w:ascii="宋体" w:hAnsi="宋体"/>
                <w:color w:val="000000"/>
                <w:sz w:val="21"/>
                <w:szCs w:val="21"/>
              </w:rPr>
              <w:t>安全监督管理局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5</w:t>
            </w:r>
          </w:p>
        </w:tc>
        <w:tc>
          <w:tcPr>
            <w:tcW w:w="4083" w:type="dxa"/>
            <w:vAlign w:val="center"/>
          </w:tcPr>
          <w:p>
            <w:pPr>
              <w:ind w:firstLine="0" w:firstLineChars="0"/>
              <w:jc w:val="center"/>
              <w:rPr>
                <w:rFonts w:ascii="宋体" w:hAnsi="宋体"/>
                <w:color w:val="000000"/>
                <w:sz w:val="21"/>
                <w:szCs w:val="21"/>
              </w:rPr>
            </w:pPr>
            <w:r>
              <w:rPr>
                <w:rFonts w:ascii="宋体" w:hAnsi="宋体"/>
                <w:color w:val="000000"/>
                <w:sz w:val="21"/>
                <w:szCs w:val="21"/>
              </w:rPr>
              <w:t>生产安全事故统计分析局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6" w:type="dxa"/>
            <w:vAlign w:val="center"/>
          </w:tcPr>
          <w:p>
            <w:pPr>
              <w:ind w:firstLine="0" w:firstLineChars="0"/>
              <w:jc w:val="center"/>
              <w:rPr>
                <w:rFonts w:ascii="宋体" w:hAnsi="宋体"/>
                <w:color w:val="000000"/>
                <w:sz w:val="21"/>
                <w:szCs w:val="21"/>
              </w:rPr>
            </w:pPr>
            <w:r>
              <w:rPr>
                <w:rFonts w:ascii="宋体" w:hAnsi="宋体"/>
                <w:color w:val="000000"/>
                <w:sz w:val="21"/>
                <w:szCs w:val="21"/>
              </w:rPr>
              <w:t>6</w:t>
            </w:r>
          </w:p>
        </w:tc>
        <w:tc>
          <w:tcPr>
            <w:tcW w:w="4083" w:type="dxa"/>
            <w:vAlign w:val="center"/>
          </w:tcPr>
          <w:p>
            <w:pPr>
              <w:ind w:firstLine="0" w:firstLineChars="0"/>
              <w:jc w:val="center"/>
              <w:rPr>
                <w:rFonts w:ascii="宋体" w:hAnsi="宋体"/>
                <w:color w:val="000000"/>
                <w:sz w:val="21"/>
                <w:szCs w:val="21"/>
              </w:rPr>
            </w:pPr>
            <w:r>
              <w:rPr>
                <w:rFonts w:ascii="宋体" w:hAnsi="宋体"/>
                <w:color w:val="000000"/>
                <w:sz w:val="21"/>
                <w:szCs w:val="21"/>
              </w:rPr>
              <w:t>西安市消防总队</w:t>
            </w:r>
          </w:p>
        </w:tc>
      </w:tr>
    </w:tbl>
    <w:p>
      <w:pPr>
        <w:keepNext/>
        <w:keepLines/>
        <w:spacing w:beforeLines="100" w:afterLines="100"/>
        <w:ind w:firstLine="482"/>
        <w:jc w:val="left"/>
        <w:outlineLvl w:val="0"/>
        <w:rPr>
          <w:b/>
          <w:bCs/>
          <w:kern w:val="44"/>
          <w:szCs w:val="44"/>
        </w:rPr>
      </w:pPr>
      <w:bookmarkStart w:id="108" w:name="_Toc454306040"/>
      <w:r>
        <w:rPr>
          <w:rFonts w:hint="eastAsia"/>
          <w:b/>
          <w:bCs/>
          <w:kern w:val="44"/>
          <w:szCs w:val="44"/>
        </w:rPr>
        <w:t>七</w:t>
      </w:r>
      <w:r>
        <w:rPr>
          <w:b/>
          <w:bCs/>
          <w:kern w:val="44"/>
          <w:szCs w:val="44"/>
        </w:rPr>
        <w:t>、</w:t>
      </w:r>
      <w:r>
        <w:rPr>
          <w:rFonts w:hint="eastAsia"/>
          <w:b/>
          <w:bCs/>
          <w:kern w:val="44"/>
          <w:szCs w:val="44"/>
        </w:rPr>
        <w:t>预期效果</w:t>
      </w:r>
      <w:bookmarkEnd w:id="108"/>
    </w:p>
    <w:p>
      <w:pPr>
        <w:keepNext/>
        <w:keepLines/>
        <w:spacing w:beforeLines="100" w:afterLines="100"/>
        <w:ind w:left="562" w:firstLine="0" w:firstLineChars="0"/>
        <w:jc w:val="left"/>
        <w:outlineLvl w:val="0"/>
        <w:rPr>
          <w:rFonts w:ascii="宋体" w:hAnsi="宋体"/>
          <w:b/>
          <w:bCs/>
          <w:kern w:val="44"/>
          <w:sz w:val="21"/>
          <w:szCs w:val="21"/>
        </w:rPr>
      </w:pPr>
      <w:bookmarkStart w:id="109" w:name="_Toc454306041"/>
      <w:r>
        <w:rPr>
          <w:rFonts w:hint="eastAsia" w:ascii="宋体" w:hAnsi="宋体"/>
          <w:b/>
          <w:bCs/>
          <w:kern w:val="44"/>
          <w:sz w:val="21"/>
          <w:szCs w:val="21"/>
        </w:rPr>
        <w:t>（一</w:t>
      </w:r>
      <w:r>
        <w:rPr>
          <w:rFonts w:ascii="宋体" w:hAnsi="宋体"/>
          <w:b/>
          <w:bCs/>
          <w:kern w:val="44"/>
          <w:sz w:val="21"/>
          <w:szCs w:val="21"/>
        </w:rPr>
        <w:t>）</w:t>
      </w:r>
      <w:r>
        <w:rPr>
          <w:rFonts w:hint="eastAsia" w:ascii="宋体" w:hAnsi="宋体"/>
          <w:b/>
          <w:bCs/>
          <w:kern w:val="44"/>
          <w:sz w:val="21"/>
          <w:szCs w:val="21"/>
        </w:rPr>
        <w:t>培养模式与培养方案得到优化，课程体系更加科学</w:t>
      </w:r>
      <w:bookmarkEnd w:id="109"/>
    </w:p>
    <w:p>
      <w:pPr>
        <w:ind w:firstLine="420"/>
        <w:rPr>
          <w:rFonts w:ascii="宋体" w:hAnsi="宋体"/>
          <w:color w:val="000000"/>
          <w:sz w:val="21"/>
          <w:szCs w:val="21"/>
        </w:rPr>
      </w:pPr>
      <w:r>
        <w:rPr>
          <w:rFonts w:hint="eastAsia" w:ascii="宋体" w:hAnsi="宋体"/>
          <w:color w:val="000000"/>
          <w:sz w:val="21"/>
          <w:szCs w:val="21"/>
        </w:rPr>
        <w:t>结合学校实际，通过推进应用型人才培养模式改革，构建高等继续教育专业课程体系，使学分银行发挥课程纽带作用，形成独具特色的课程体系；提升核心课程影响力，推出</w:t>
      </w:r>
      <w:r>
        <w:rPr>
          <w:rFonts w:ascii="宋体" w:hAnsi="宋体"/>
          <w:color w:val="000000"/>
          <w:sz w:val="21"/>
          <w:szCs w:val="21"/>
        </w:rPr>
        <w:t>1-2</w:t>
      </w:r>
      <w:r>
        <w:rPr>
          <w:rFonts w:hint="eastAsia" w:ascii="宋体" w:hAnsi="宋体"/>
          <w:color w:val="000000"/>
          <w:sz w:val="21"/>
          <w:szCs w:val="21"/>
        </w:rPr>
        <w:t>门校级精品课程、网络课程，申报省级精品课程；突出人才的实践能力与综合素养，以适应新常态社会对公共管理人才的新需求。</w:t>
      </w:r>
    </w:p>
    <w:p>
      <w:pPr>
        <w:keepNext/>
        <w:keepLines/>
        <w:spacing w:beforeLines="100" w:afterLines="100"/>
        <w:ind w:left="562" w:firstLine="0" w:firstLineChars="0"/>
        <w:jc w:val="left"/>
        <w:outlineLvl w:val="0"/>
        <w:rPr>
          <w:rFonts w:ascii="宋体" w:hAnsi="宋体"/>
          <w:b/>
          <w:bCs/>
          <w:kern w:val="44"/>
          <w:sz w:val="21"/>
          <w:szCs w:val="21"/>
        </w:rPr>
      </w:pPr>
      <w:bookmarkStart w:id="110" w:name="_Toc454306042"/>
      <w:r>
        <w:rPr>
          <w:rFonts w:hint="eastAsia" w:ascii="宋体" w:hAnsi="宋体"/>
          <w:b/>
          <w:bCs/>
          <w:kern w:val="44"/>
          <w:sz w:val="21"/>
          <w:szCs w:val="21"/>
        </w:rPr>
        <w:t>（</w:t>
      </w:r>
      <w:r>
        <w:rPr>
          <w:rFonts w:ascii="宋体" w:hAnsi="宋体"/>
          <w:b/>
          <w:bCs/>
          <w:kern w:val="44"/>
          <w:sz w:val="21"/>
          <w:szCs w:val="21"/>
        </w:rPr>
        <w:t>二</w:t>
      </w:r>
      <w:r>
        <w:rPr>
          <w:rFonts w:hint="eastAsia" w:ascii="宋体" w:hAnsi="宋体"/>
          <w:b/>
          <w:bCs/>
          <w:kern w:val="44"/>
          <w:sz w:val="21"/>
          <w:szCs w:val="21"/>
        </w:rPr>
        <w:t>）师资结构更为合理，教师素质明显提升</w:t>
      </w:r>
      <w:bookmarkEnd w:id="110"/>
    </w:p>
    <w:p>
      <w:pPr>
        <w:ind w:firstLine="420"/>
        <w:rPr>
          <w:rFonts w:ascii="宋体" w:hAnsi="宋体"/>
          <w:color w:val="000000"/>
          <w:sz w:val="21"/>
          <w:szCs w:val="21"/>
        </w:rPr>
      </w:pPr>
      <w:r>
        <w:rPr>
          <w:rFonts w:hint="eastAsia" w:ascii="宋体" w:hAnsi="宋体"/>
          <w:color w:val="000000"/>
          <w:sz w:val="21"/>
          <w:szCs w:val="21"/>
        </w:rPr>
        <w:t>加大师资队伍建设力度，加强专业带头人和骨干教师的培养，优化师资队伍结构。根据我校实际情况，在今后几年中，将依据需要重点引进专业带头人和发展潜力突出的年轻硕士、博士，建设一支学术思想活跃、科研能力强、理论水平高的教学、科研队伍。</w:t>
      </w:r>
    </w:p>
    <w:p>
      <w:pPr>
        <w:keepNext/>
        <w:keepLines/>
        <w:spacing w:beforeLines="100" w:afterLines="100"/>
        <w:ind w:left="562" w:firstLine="0" w:firstLineChars="0"/>
        <w:jc w:val="left"/>
        <w:outlineLvl w:val="0"/>
        <w:rPr>
          <w:rFonts w:ascii="宋体" w:hAnsi="宋体"/>
          <w:b/>
          <w:bCs/>
          <w:kern w:val="44"/>
          <w:sz w:val="21"/>
          <w:szCs w:val="21"/>
        </w:rPr>
      </w:pPr>
      <w:bookmarkStart w:id="111" w:name="_Toc454306043"/>
      <w:r>
        <w:rPr>
          <w:rFonts w:hint="eastAsia" w:ascii="宋体" w:hAnsi="宋体"/>
          <w:b/>
          <w:bCs/>
          <w:kern w:val="44"/>
          <w:sz w:val="21"/>
          <w:szCs w:val="21"/>
        </w:rPr>
        <w:t>（</w:t>
      </w:r>
      <w:r>
        <w:rPr>
          <w:rFonts w:ascii="宋体" w:hAnsi="宋体"/>
          <w:b/>
          <w:bCs/>
          <w:kern w:val="44"/>
          <w:sz w:val="21"/>
          <w:szCs w:val="21"/>
        </w:rPr>
        <w:t>三）</w:t>
      </w:r>
      <w:r>
        <w:rPr>
          <w:rFonts w:hint="eastAsia" w:ascii="宋体" w:hAnsi="宋体"/>
          <w:b/>
          <w:bCs/>
          <w:kern w:val="44"/>
          <w:sz w:val="21"/>
          <w:szCs w:val="21"/>
        </w:rPr>
        <w:t>教改立项如期进行，改革成果得以推广</w:t>
      </w:r>
      <w:bookmarkEnd w:id="111"/>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通过深入开展教学改革，注重教学改革项目的申报、推进与应用。积极推进各级教学研究课题申报与开展，围绕特色专业建设进行资源建设与开发，探索特色专业建设教学改革研究模式，促进教学改革与教学实践的双向互补。在线选修课教学平台与考试平台能够在专业教育教学过程中取得实际成效，提升教育教学质量。</w:t>
      </w:r>
    </w:p>
    <w:p>
      <w:pPr>
        <w:keepNext/>
        <w:keepLines/>
        <w:spacing w:beforeLines="100" w:afterLines="100"/>
        <w:ind w:left="562" w:firstLine="0" w:firstLineChars="0"/>
        <w:jc w:val="left"/>
        <w:outlineLvl w:val="0"/>
        <w:rPr>
          <w:rFonts w:ascii="宋体" w:hAnsi="宋体"/>
          <w:b/>
          <w:bCs/>
          <w:kern w:val="44"/>
          <w:sz w:val="21"/>
          <w:szCs w:val="21"/>
        </w:rPr>
      </w:pPr>
      <w:bookmarkStart w:id="112" w:name="_Toc454306044"/>
      <w:r>
        <w:rPr>
          <w:rFonts w:hint="eastAsia" w:ascii="宋体" w:hAnsi="宋体"/>
          <w:b/>
          <w:bCs/>
          <w:kern w:val="44"/>
          <w:sz w:val="21"/>
          <w:szCs w:val="21"/>
        </w:rPr>
        <w:t>（四）人才培养成效显著，社会效益明显</w:t>
      </w:r>
      <w:bookmarkEnd w:id="112"/>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结合成人教育特点，开展丰富多样的综合性专业活动，提升学习者综合行政思维、知识、能力等素质。完善质量评价体系，注重个体与社会的多元评价，客观科学地衡量人才培养质量。利用评价体系，强化专业育人效果，提升社会效益。</w:t>
      </w:r>
    </w:p>
    <w:p>
      <w:pPr>
        <w:keepNext/>
        <w:keepLines/>
        <w:spacing w:beforeLines="100" w:afterLines="100"/>
        <w:ind w:firstLine="482"/>
        <w:jc w:val="left"/>
        <w:outlineLvl w:val="0"/>
        <w:rPr>
          <w:b/>
          <w:bCs/>
          <w:kern w:val="44"/>
          <w:szCs w:val="44"/>
        </w:rPr>
      </w:pPr>
      <w:bookmarkStart w:id="113" w:name="_Toc454306045"/>
      <w:r>
        <w:rPr>
          <w:rFonts w:hint="eastAsia"/>
          <w:b/>
          <w:bCs/>
          <w:kern w:val="44"/>
          <w:szCs w:val="44"/>
        </w:rPr>
        <w:t>八、保障措施</w:t>
      </w:r>
      <w:bookmarkEnd w:id="113"/>
    </w:p>
    <w:p>
      <w:pPr>
        <w:keepNext/>
        <w:keepLines/>
        <w:spacing w:beforeLines="100" w:afterLines="100"/>
        <w:ind w:firstLine="422"/>
        <w:jc w:val="left"/>
        <w:outlineLvl w:val="0"/>
        <w:rPr>
          <w:rFonts w:ascii="宋体" w:hAnsi="宋体"/>
          <w:b/>
          <w:bCs/>
          <w:kern w:val="44"/>
          <w:sz w:val="21"/>
          <w:szCs w:val="21"/>
        </w:rPr>
      </w:pPr>
      <w:bookmarkStart w:id="114" w:name="_Toc454306046"/>
      <w:r>
        <w:rPr>
          <w:rFonts w:hint="eastAsia" w:ascii="宋体" w:hAnsi="宋体"/>
          <w:b/>
          <w:bCs/>
          <w:kern w:val="44"/>
          <w:sz w:val="21"/>
          <w:szCs w:val="21"/>
        </w:rPr>
        <w:t>（一）健全组织领导，理顺机制</w:t>
      </w:r>
      <w:bookmarkEnd w:id="114"/>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校成立以主管教学副校长为指导，教学部主任为组长，专业骨干教师为主要成员的工作领导小组，全面负责专业建设的过程管理，强化专业建设的组织与协调。聘请校内和校外专家组成专业建设指导委员会，统领项目的决策运行。由教研室主任和骨干教师成立建设工作执行小组，负责方案的落实工作。同时，定期召开建设工作调度会，及时协调解决建设进程中遇到的困难与问题，确保建设任务按计划完成。</w:t>
      </w:r>
    </w:p>
    <w:p>
      <w:pPr>
        <w:keepNext/>
        <w:keepLines/>
        <w:spacing w:beforeLines="100" w:afterLines="100"/>
        <w:ind w:firstLine="422"/>
        <w:jc w:val="left"/>
        <w:outlineLvl w:val="0"/>
        <w:rPr>
          <w:rFonts w:ascii="宋体" w:hAnsi="宋体"/>
          <w:b/>
          <w:bCs/>
          <w:kern w:val="44"/>
          <w:sz w:val="21"/>
          <w:szCs w:val="21"/>
        </w:rPr>
      </w:pPr>
      <w:bookmarkStart w:id="115" w:name="_Toc454306047"/>
      <w:r>
        <w:rPr>
          <w:rFonts w:hint="eastAsia" w:ascii="宋体" w:hAnsi="宋体"/>
          <w:b/>
          <w:bCs/>
          <w:kern w:val="44"/>
          <w:sz w:val="21"/>
          <w:szCs w:val="21"/>
        </w:rPr>
        <w:t>（二）着眼团队建设，确保执行</w:t>
      </w:r>
      <w:bookmarkEnd w:id="115"/>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依托专业建设委员会，采取多种措施加强团队建设，确保执行的科学化、系统化和成效化。一是通过培养专业带头人和骨干教师，优化专业教学团队规模，提升专业团队教学水平；二是定期对团队成员进行管理、运行和业务能力培训，挖掘内部潜力，提升团队实力，增强完成建设任务的能力；三是精选、优选聘用专业兼职教师，将兼职教师纳入建设团队，使其承担相关课程建设、教材开发、校企合作等建设任务，通过科学的考评机制充分调动兼职教师的积极性，使其完成所承担的建设任务。</w:t>
      </w:r>
    </w:p>
    <w:p>
      <w:pPr>
        <w:keepNext/>
        <w:keepLines/>
        <w:spacing w:beforeLines="100" w:afterLines="100"/>
        <w:ind w:firstLine="422"/>
        <w:jc w:val="left"/>
        <w:outlineLvl w:val="0"/>
        <w:rPr>
          <w:rFonts w:ascii="宋体" w:hAnsi="宋体"/>
          <w:b/>
          <w:bCs/>
          <w:kern w:val="44"/>
          <w:sz w:val="21"/>
          <w:szCs w:val="21"/>
        </w:rPr>
      </w:pPr>
      <w:bookmarkStart w:id="116" w:name="_Toc454306048"/>
      <w:r>
        <w:rPr>
          <w:rFonts w:hint="eastAsia" w:ascii="宋体" w:hAnsi="宋体"/>
          <w:b/>
          <w:bCs/>
          <w:kern w:val="44"/>
          <w:sz w:val="21"/>
          <w:szCs w:val="21"/>
        </w:rPr>
        <w:t>（三）分解建设任务，落实责任</w:t>
      </w:r>
      <w:bookmarkEnd w:id="116"/>
    </w:p>
    <w:p>
      <w:pPr>
        <w:ind w:firstLine="420"/>
        <w:rPr>
          <w:rFonts w:ascii="宋体" w:hAnsi="宋体"/>
          <w:color w:val="000000"/>
          <w:sz w:val="21"/>
          <w:szCs w:val="21"/>
        </w:rPr>
      </w:pPr>
      <w:r>
        <w:rPr>
          <w:rFonts w:hint="eastAsia" w:ascii="宋体" w:hAnsi="宋体"/>
          <w:color w:val="000000"/>
          <w:sz w:val="21"/>
          <w:szCs w:val="21"/>
        </w:rPr>
        <w:t>对专业建设实行任务细分管理，由专业建设团队负责任务分工，</w:t>
      </w:r>
      <w:r>
        <w:rPr>
          <w:rFonts w:ascii="宋体" w:hAnsi="宋体"/>
          <w:color w:val="000000"/>
          <w:sz w:val="21"/>
          <w:szCs w:val="21"/>
        </w:rPr>
        <w:t>明确成员</w:t>
      </w:r>
      <w:r>
        <w:rPr>
          <w:rFonts w:hint="eastAsia" w:ascii="宋体" w:hAnsi="宋体"/>
          <w:color w:val="000000"/>
          <w:sz w:val="21"/>
          <w:szCs w:val="21"/>
        </w:rPr>
        <w:t>责任，全面提升建设工作的科学管理水平。在专业建设管理过程中，分解项目任务，厘清各自责任，做到分工明确，确保项目按时保质完成。</w:t>
      </w:r>
    </w:p>
    <w:p>
      <w:pPr>
        <w:keepNext/>
        <w:keepLines/>
        <w:spacing w:beforeLines="100" w:afterLines="100"/>
        <w:ind w:firstLine="422"/>
        <w:jc w:val="left"/>
        <w:outlineLvl w:val="0"/>
        <w:rPr>
          <w:rFonts w:ascii="宋体" w:hAnsi="宋体"/>
          <w:b/>
          <w:bCs/>
          <w:kern w:val="44"/>
          <w:sz w:val="21"/>
          <w:szCs w:val="21"/>
        </w:rPr>
      </w:pPr>
      <w:bookmarkStart w:id="117" w:name="_Toc454306049"/>
      <w:r>
        <w:rPr>
          <w:rFonts w:hint="eastAsia" w:ascii="宋体" w:hAnsi="宋体"/>
          <w:b/>
          <w:bCs/>
          <w:kern w:val="44"/>
          <w:sz w:val="21"/>
          <w:szCs w:val="21"/>
        </w:rPr>
        <w:t>（四）加强经费管理，确保物质支持</w:t>
      </w:r>
      <w:bookmarkEnd w:id="117"/>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both"/>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按照学校工作计划，将特色专业建设工作纳入专项教学改革活动，确保资金投入，加强特色专业建设经费管理，确保专款专用，实行专业建设负责人和建设监管负责人相结合的经费使用、经费报销签字制度。实行建设的年度报告制度，对建设年度进展情况、年度统计、年度资金预决算、投资完成情况及有关资料汇总形成年度总结报告，及时上报建设领导小组。</w:t>
      </w: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ind w:firstLine="420"/>
        <w:rPr>
          <w:rFonts w:ascii="宋体" w:hAnsi="宋体"/>
          <w:sz w:val="21"/>
          <w:szCs w:val="21"/>
        </w:rPr>
      </w:pPr>
    </w:p>
    <w:p>
      <w:pPr>
        <w:autoSpaceDE w:val="0"/>
        <w:autoSpaceDN w:val="0"/>
        <w:adjustRightInd w:val="0"/>
        <w:ind w:right="-19" w:rightChars="-8" w:firstLine="0" w:firstLineChars="0"/>
        <w:jc w:val="center"/>
        <w:rPr>
          <w:rFonts w:ascii="宋体" w:hAnsi="宋体"/>
          <w:b/>
          <w:color w:val="000000"/>
          <w:kern w:val="0"/>
          <w:sz w:val="32"/>
          <w:szCs w:val="32"/>
        </w:rPr>
      </w:pPr>
      <w:r>
        <w:rPr>
          <w:rFonts w:hint="eastAsia" w:ascii="宋体" w:hAnsi="宋体"/>
          <w:b/>
          <w:color w:val="000000"/>
          <w:kern w:val="0"/>
          <w:sz w:val="32"/>
          <w:szCs w:val="32"/>
        </w:rPr>
        <w:t>资源环境与安全大类安全类</w:t>
      </w:r>
    </w:p>
    <w:p>
      <w:pPr>
        <w:autoSpaceDE w:val="0"/>
        <w:autoSpaceDN w:val="0"/>
        <w:adjustRightInd w:val="0"/>
        <w:ind w:right="-19" w:rightChars="-8" w:firstLine="0" w:firstLineChars="0"/>
        <w:jc w:val="center"/>
        <w:rPr>
          <w:rFonts w:ascii="宋体" w:hAnsi="宋体" w:cs="汉鼎简仿宋"/>
          <w:b/>
          <w:color w:val="000000"/>
          <w:kern w:val="0"/>
          <w:sz w:val="32"/>
          <w:szCs w:val="32"/>
        </w:rPr>
      </w:pPr>
      <w:r>
        <w:rPr>
          <w:rFonts w:ascii="宋体" w:hAnsi="宋体"/>
          <w:b/>
          <w:color w:val="000000"/>
          <w:kern w:val="0"/>
          <w:sz w:val="32"/>
          <w:szCs w:val="32"/>
        </w:rPr>
        <w:t>2016</w:t>
      </w:r>
      <w:r>
        <w:rPr>
          <w:rFonts w:hint="eastAsia" w:ascii="宋体" w:hAnsi="宋体" w:cs="汉鼎简仿宋"/>
          <w:b/>
          <w:color w:val="000000"/>
          <w:kern w:val="0"/>
          <w:sz w:val="32"/>
          <w:szCs w:val="32"/>
        </w:rPr>
        <w:t>年秋季新开专业《安全技术与管理》（专科）</w:t>
      </w:r>
    </w:p>
    <w:p>
      <w:pPr>
        <w:autoSpaceDE w:val="0"/>
        <w:autoSpaceDN w:val="0"/>
        <w:adjustRightInd w:val="0"/>
        <w:spacing w:afterLines="50"/>
        <w:ind w:right="-19" w:rightChars="-8" w:firstLine="0" w:firstLineChars="0"/>
        <w:jc w:val="center"/>
        <w:rPr>
          <w:rFonts w:ascii="宋体" w:hAnsi="宋体" w:cs="汉鼎简仿宋"/>
          <w:b/>
          <w:color w:val="000000"/>
          <w:kern w:val="0"/>
          <w:sz w:val="32"/>
          <w:szCs w:val="32"/>
        </w:rPr>
      </w:pPr>
      <w:r>
        <w:rPr>
          <w:rFonts w:hint="eastAsia" w:ascii="宋体" w:hAnsi="宋体" w:cs="汉鼎简仿宋"/>
          <w:b/>
          <w:color w:val="000000"/>
          <w:kern w:val="0"/>
          <w:sz w:val="32"/>
          <w:szCs w:val="32"/>
        </w:rPr>
        <w:t>统设-非统设课程细目表</w:t>
      </w:r>
    </w:p>
    <w:tbl>
      <w:tblPr>
        <w:tblStyle w:val="16"/>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91"/>
        <w:gridCol w:w="724"/>
        <w:gridCol w:w="2757"/>
        <w:gridCol w:w="727"/>
        <w:gridCol w:w="1018"/>
        <w:gridCol w:w="869"/>
        <w:gridCol w:w="978"/>
        <w:gridCol w:w="139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62"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序号</w:t>
            </w:r>
          </w:p>
        </w:tc>
        <w:tc>
          <w:tcPr>
            <w:tcW w:w="791"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position w:val="-2"/>
              </w:rPr>
              <w:t>专业</w:t>
            </w:r>
          </w:p>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position w:val="-2"/>
              </w:rPr>
              <w:t>层次</w:t>
            </w:r>
          </w:p>
        </w:tc>
        <w:tc>
          <w:tcPr>
            <w:tcW w:w="724"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专业名称</w:t>
            </w:r>
          </w:p>
        </w:tc>
        <w:tc>
          <w:tcPr>
            <w:tcW w:w="2757"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统设必修课程</w:t>
            </w:r>
          </w:p>
        </w:tc>
        <w:tc>
          <w:tcPr>
            <w:tcW w:w="727"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课程学分</w:t>
            </w:r>
          </w:p>
        </w:tc>
        <w:tc>
          <w:tcPr>
            <w:tcW w:w="1018"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建议开设学期</w:t>
            </w:r>
          </w:p>
        </w:tc>
        <w:tc>
          <w:tcPr>
            <w:tcW w:w="869"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资源</w:t>
            </w:r>
          </w:p>
        </w:tc>
        <w:tc>
          <w:tcPr>
            <w:tcW w:w="978" w:type="dxa"/>
            <w:vAlign w:val="center"/>
          </w:tcPr>
          <w:p>
            <w:pPr>
              <w:autoSpaceDE w:val="0"/>
              <w:autoSpaceDN w:val="0"/>
              <w:adjustRightInd w:val="0"/>
              <w:ind w:firstLine="0" w:firstLineChars="0"/>
              <w:jc w:val="center"/>
              <w:rPr>
                <w:rFonts w:ascii="宋体"/>
                <w:b/>
                <w:color w:val="000000"/>
                <w:kern w:val="0"/>
              </w:rPr>
            </w:pPr>
            <w:r>
              <w:rPr>
                <w:rFonts w:hint="eastAsia" w:ascii="宋体" w:hAnsi="宋体" w:cs="汉鼎简仿宋"/>
                <w:b/>
                <w:color w:val="000000"/>
                <w:kern w:val="0"/>
              </w:rPr>
              <w:t>考试</w:t>
            </w:r>
          </w:p>
        </w:tc>
        <w:tc>
          <w:tcPr>
            <w:tcW w:w="1390" w:type="dxa"/>
            <w:vAlign w:val="center"/>
          </w:tcPr>
          <w:p>
            <w:pPr>
              <w:tabs>
                <w:tab w:val="left" w:pos="1174"/>
              </w:tabs>
              <w:autoSpaceDE w:val="0"/>
              <w:autoSpaceDN w:val="0"/>
              <w:adjustRightInd w:val="0"/>
              <w:ind w:firstLine="0" w:firstLineChars="0"/>
              <w:jc w:val="center"/>
              <w:rPr>
                <w:rFonts w:ascii="宋体"/>
                <w:b/>
                <w:color w:val="000000"/>
                <w:kern w:val="0"/>
              </w:rPr>
            </w:pPr>
            <w:r>
              <w:rPr>
                <w:rFonts w:hint="eastAsia" w:ascii="宋体" w:hAnsi="宋体"/>
                <w:b/>
                <w:color w:val="000000"/>
                <w:kern w:val="0"/>
              </w:rPr>
              <w:t>主持教师</w:t>
            </w:r>
          </w:p>
        </w:tc>
        <w:tc>
          <w:tcPr>
            <w:tcW w:w="1026" w:type="dxa"/>
            <w:vAlign w:val="center"/>
          </w:tcPr>
          <w:p>
            <w:pPr>
              <w:tabs>
                <w:tab w:val="left" w:pos="1894"/>
              </w:tabs>
              <w:autoSpaceDE w:val="0"/>
              <w:autoSpaceDN w:val="0"/>
              <w:adjustRightInd w:val="0"/>
              <w:ind w:firstLine="0" w:firstLineChars="0"/>
              <w:jc w:val="center"/>
              <w:rPr>
                <w:rFonts w:ascii="宋体"/>
                <w:b/>
                <w:color w:val="000000"/>
                <w:kern w:val="0"/>
              </w:rPr>
            </w:pPr>
            <w:r>
              <w:rPr>
                <w:rFonts w:hint="eastAsia" w:ascii="宋体" w:hAnsi="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restart"/>
            <w:vAlign w:val="center"/>
          </w:tcPr>
          <w:p>
            <w:pPr>
              <w:ind w:firstLine="0" w:firstLineChars="0"/>
              <w:jc w:val="left"/>
              <w:rPr>
                <w:rFonts w:ascii="宋体" w:hAnsi="宋体"/>
                <w:color w:val="000000"/>
                <w:kern w:val="0"/>
                <w:position w:val="-2"/>
                <w:sz w:val="18"/>
                <w:szCs w:val="18"/>
              </w:rPr>
            </w:pPr>
            <w:r>
              <w:rPr>
                <w:rFonts w:hint="eastAsia" w:ascii="宋体" w:hAnsi="宋体"/>
                <w:color w:val="000000"/>
                <w:kern w:val="0"/>
                <w:position w:val="-2"/>
                <w:sz w:val="18"/>
                <w:szCs w:val="18"/>
              </w:rPr>
              <w:t>专科</w:t>
            </w:r>
          </w:p>
        </w:tc>
        <w:tc>
          <w:tcPr>
            <w:tcW w:w="724" w:type="dxa"/>
            <w:vMerge w:val="restart"/>
            <w:vAlign w:val="center"/>
          </w:tcPr>
          <w:p>
            <w:pPr>
              <w:autoSpaceDE w:val="0"/>
              <w:autoSpaceDN w:val="0"/>
              <w:adjustRightInd w:val="0"/>
              <w:ind w:firstLine="0" w:firstLineChars="0"/>
              <w:rPr>
                <w:rFonts w:ascii="宋体" w:hAnsi="宋体"/>
                <w:color w:val="000000"/>
                <w:kern w:val="0"/>
                <w:sz w:val="18"/>
                <w:szCs w:val="18"/>
              </w:rPr>
            </w:pPr>
            <w:r>
              <w:rPr>
                <w:rFonts w:hint="eastAsia" w:ascii="宋体" w:hAnsi="宋体"/>
                <w:color w:val="000000"/>
                <w:kern w:val="0"/>
                <w:sz w:val="18"/>
                <w:szCs w:val="18"/>
              </w:rPr>
              <w:t>安全技术与管理</w:t>
            </w: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中国特色社会主义理论体系概论</w:t>
            </w:r>
          </w:p>
        </w:tc>
        <w:tc>
          <w:tcPr>
            <w:tcW w:w="727" w:type="dxa"/>
            <w:vAlign w:val="center"/>
          </w:tcPr>
          <w:p>
            <w:pPr>
              <w:autoSpaceDE w:val="0"/>
              <w:autoSpaceDN w:val="0"/>
              <w:adjustRightInd w:val="0"/>
              <w:ind w:firstLine="0" w:firstLineChars="0"/>
              <w:jc w:val="center"/>
              <w:rPr>
                <w:rFonts w:ascii="宋体" w:hAnsi="宋体"/>
                <w:color w:val="000000"/>
                <w:kern w:val="0"/>
                <w:sz w:val="18"/>
                <w:szCs w:val="18"/>
              </w:rPr>
            </w:pPr>
            <w:r>
              <w:rPr>
                <w:rFonts w:ascii="宋体" w:hAnsi="宋体"/>
                <w:color w:val="000000"/>
                <w:kern w:val="0"/>
                <w:sz w:val="18"/>
                <w:szCs w:val="18"/>
              </w:rPr>
              <w:t>2</w:t>
            </w:r>
          </w:p>
        </w:tc>
        <w:tc>
          <w:tcPr>
            <w:tcW w:w="1018" w:type="dxa"/>
            <w:vAlign w:val="center"/>
          </w:tcPr>
          <w:p>
            <w:pPr>
              <w:ind w:firstLine="0" w:firstLineChars="0"/>
              <w:jc w:val="center"/>
              <w:rPr>
                <w:rFonts w:ascii="宋体" w:hAnsi="宋体"/>
                <w:color w:val="000000"/>
                <w:sz w:val="18"/>
                <w:szCs w:val="18"/>
              </w:rPr>
            </w:pPr>
            <w:r>
              <w:rPr>
                <w:rFonts w:ascii="宋体" w:hAnsi="宋体"/>
                <w:color w:val="000000"/>
                <w:sz w:val="18"/>
                <w:szCs w:val="18"/>
              </w:rPr>
              <w:t>1</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张宇</w:t>
            </w:r>
          </w:p>
        </w:tc>
        <w:tc>
          <w:tcPr>
            <w:tcW w:w="1026" w:type="dxa"/>
            <w:vMerge w:val="restart"/>
            <w:vAlign w:val="center"/>
          </w:tcPr>
          <w:p>
            <w:pPr>
              <w:ind w:firstLine="0" w:firstLineChars="0"/>
              <w:jc w:val="center"/>
              <w:rPr>
                <w:rFonts w:ascii="宋体" w:hAnsi="宋体" w:cs="宋体"/>
                <w:color w:val="000000"/>
                <w:kern w:val="1"/>
                <w:sz w:val="21"/>
                <w:szCs w:val="21"/>
              </w:rPr>
            </w:pPr>
            <w:r>
              <w:rPr>
                <w:rFonts w:hint="eastAsia" w:ascii="宋体" w:hAnsi="宋体" w:cs="宋体"/>
                <w:color w:val="000000"/>
                <w:kern w:val="1"/>
                <w:sz w:val="21"/>
                <w:szCs w:val="21"/>
              </w:rPr>
              <w:t>统设</w:t>
            </w:r>
          </w:p>
          <w:p>
            <w:pPr>
              <w:ind w:firstLine="0" w:firstLineChars="0"/>
              <w:jc w:val="center"/>
              <w:rPr>
                <w:rFonts w:ascii="宋体" w:hAnsi="宋体"/>
                <w:color w:val="000000"/>
                <w:kern w:val="0"/>
                <w:sz w:val="21"/>
                <w:szCs w:val="21"/>
              </w:rPr>
            </w:pPr>
            <w:r>
              <w:rPr>
                <w:rFonts w:hint="eastAsia" w:ascii="宋体" w:hAnsi="宋体" w:cs="宋体"/>
                <w:color w:val="000000"/>
                <w:kern w:val="1"/>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国家开放大学学习指南</w:t>
            </w:r>
          </w:p>
        </w:tc>
        <w:tc>
          <w:tcPr>
            <w:tcW w:w="727" w:type="dxa"/>
            <w:vAlign w:val="center"/>
          </w:tcPr>
          <w:p>
            <w:pPr>
              <w:autoSpaceDE w:val="0"/>
              <w:autoSpaceDN w:val="0"/>
              <w:adjustRightInd w:val="0"/>
              <w:ind w:firstLine="0" w:firstLineChars="0"/>
              <w:jc w:val="center"/>
              <w:rPr>
                <w:rFonts w:ascii="宋体" w:hAnsi="宋体"/>
                <w:color w:val="000000"/>
                <w:kern w:val="0"/>
                <w:sz w:val="18"/>
                <w:szCs w:val="18"/>
              </w:rPr>
            </w:pPr>
            <w:r>
              <w:rPr>
                <w:rFonts w:ascii="宋体" w:hAnsi="宋体"/>
                <w:color w:val="000000"/>
                <w:kern w:val="0"/>
                <w:sz w:val="18"/>
                <w:szCs w:val="18"/>
              </w:rPr>
              <w:t>1</w:t>
            </w:r>
          </w:p>
        </w:tc>
        <w:tc>
          <w:tcPr>
            <w:tcW w:w="1018" w:type="dxa"/>
            <w:vAlign w:val="center"/>
          </w:tcPr>
          <w:p>
            <w:pPr>
              <w:ind w:firstLine="0" w:firstLineChars="0"/>
              <w:jc w:val="center"/>
              <w:rPr>
                <w:rFonts w:ascii="宋体" w:hAnsi="宋体"/>
                <w:color w:val="000000"/>
                <w:sz w:val="18"/>
                <w:szCs w:val="18"/>
              </w:rPr>
            </w:pPr>
            <w:r>
              <w:rPr>
                <w:rFonts w:ascii="宋体" w:hAnsi="宋体"/>
                <w:color w:val="000000"/>
                <w:sz w:val="18"/>
                <w:szCs w:val="18"/>
              </w:rPr>
              <w:t>1</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宋锋</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安全管理</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沿用</w:t>
            </w:r>
          </w:p>
        </w:tc>
        <w:tc>
          <w:tcPr>
            <w:tcW w:w="978"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朱军强</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安全系统工程</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林海飞</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安全原理</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赵祥</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安全人机工程</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朱军强</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特种设备安全</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高迎社</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事故管理与应急处置</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高迎社</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职业卫生基础</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张安</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电气安全技术</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梅仲云</w:t>
            </w:r>
          </w:p>
        </w:tc>
        <w:tc>
          <w:tcPr>
            <w:tcW w:w="1026" w:type="dxa"/>
            <w:vMerge w:val="continue"/>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kern w:val="1"/>
                <w:sz w:val="18"/>
                <w:szCs w:val="18"/>
              </w:rPr>
            </w:pPr>
            <w:r>
              <w:rPr>
                <w:rFonts w:hint="eastAsia" w:ascii="宋体" w:hAnsi="宋体" w:cs="宋体"/>
                <w:kern w:val="1"/>
                <w:sz w:val="18"/>
                <w:szCs w:val="18"/>
              </w:rPr>
              <w:t>英语Ⅰ（</w:t>
            </w:r>
            <w:r>
              <w:rPr>
                <w:rFonts w:ascii="宋体" w:hAnsi="宋体" w:cs="宋体"/>
                <w:kern w:val="1"/>
                <w:sz w:val="18"/>
                <w:szCs w:val="18"/>
              </w:rPr>
              <w:t>1</w:t>
            </w:r>
            <w:r>
              <w:rPr>
                <w:rFonts w:hint="eastAsia" w:ascii="宋体" w:hAnsi="宋体" w:cs="宋体"/>
                <w:kern w:val="1"/>
                <w:sz w:val="18"/>
                <w:szCs w:val="18"/>
              </w:rPr>
              <w:t>）</w:t>
            </w:r>
          </w:p>
        </w:tc>
        <w:tc>
          <w:tcPr>
            <w:tcW w:w="727" w:type="dxa"/>
            <w:vAlign w:val="center"/>
          </w:tcPr>
          <w:p>
            <w:pPr>
              <w:autoSpaceDE w:val="0"/>
              <w:autoSpaceDN w:val="0"/>
              <w:adjustRightInd w:val="0"/>
              <w:ind w:firstLine="0" w:firstLineChars="0"/>
              <w:jc w:val="center"/>
              <w:rPr>
                <w:rFonts w:ascii="宋体" w:hAnsi="宋体"/>
                <w:color w:val="000000"/>
                <w:kern w:val="0"/>
                <w:sz w:val="18"/>
                <w:szCs w:val="18"/>
              </w:rPr>
            </w:pPr>
            <w:r>
              <w:rPr>
                <w:rFonts w:ascii="宋体" w:hAnsi="宋体"/>
                <w:color w:val="000000"/>
                <w:kern w:val="0"/>
                <w:sz w:val="18"/>
                <w:szCs w:val="18"/>
              </w:rPr>
              <w:t>3</w:t>
            </w:r>
          </w:p>
        </w:tc>
        <w:tc>
          <w:tcPr>
            <w:tcW w:w="1018" w:type="dxa"/>
            <w:vAlign w:val="center"/>
          </w:tcPr>
          <w:p>
            <w:pPr>
              <w:ind w:firstLine="0" w:firstLineChars="0"/>
              <w:jc w:val="center"/>
              <w:rPr>
                <w:rFonts w:ascii="宋体" w:hAnsi="宋体"/>
                <w:color w:val="000000"/>
                <w:sz w:val="18"/>
                <w:szCs w:val="18"/>
              </w:rPr>
            </w:pPr>
            <w:r>
              <w:rPr>
                <w:rFonts w:ascii="宋体" w:hAnsi="宋体"/>
                <w:color w:val="000000"/>
                <w:sz w:val="18"/>
                <w:szCs w:val="18"/>
              </w:rPr>
              <w:t>1</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韩喜春</w:t>
            </w:r>
          </w:p>
        </w:tc>
        <w:tc>
          <w:tcPr>
            <w:tcW w:w="1026" w:type="dxa"/>
            <w:vMerge w:val="restart"/>
            <w:vAlign w:val="center"/>
          </w:tcPr>
          <w:p>
            <w:pPr>
              <w:ind w:firstLine="0" w:firstLineChars="0"/>
              <w:jc w:val="center"/>
              <w:rPr>
                <w:rFonts w:ascii="宋体" w:hAnsi="宋体"/>
                <w:color w:val="000000"/>
                <w:kern w:val="0"/>
                <w:sz w:val="21"/>
                <w:szCs w:val="21"/>
              </w:rPr>
            </w:pPr>
            <w:r>
              <w:rPr>
                <w:rFonts w:ascii="宋体" w:hAnsi="宋体"/>
                <w:color w:val="000000"/>
                <w:kern w:val="0"/>
                <w:sz w:val="21"/>
                <w:szCs w:val="21"/>
              </w:rPr>
              <w:t>统</w:t>
            </w:r>
            <w:r>
              <w:rPr>
                <w:rFonts w:hint="eastAsia" w:ascii="宋体" w:hAnsi="宋体"/>
                <w:color w:val="000000"/>
                <w:kern w:val="0"/>
                <w:sz w:val="21"/>
                <w:szCs w:val="21"/>
              </w:rPr>
              <w:t>设</w:t>
            </w:r>
          </w:p>
          <w:p>
            <w:pPr>
              <w:ind w:firstLine="0" w:firstLineChars="0"/>
              <w:jc w:val="center"/>
              <w:rPr>
                <w:rFonts w:ascii="宋体" w:hAnsi="宋体"/>
                <w:color w:val="000000"/>
                <w:kern w:val="0"/>
                <w:sz w:val="21"/>
                <w:szCs w:val="21"/>
              </w:rPr>
            </w:pPr>
            <w:r>
              <w:rPr>
                <w:rFonts w:ascii="宋体" w:hAnsi="宋体"/>
                <w:color w:val="000000"/>
                <w:kern w:val="0"/>
                <w:sz w:val="21"/>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autoSpaceDE w:val="0"/>
              <w:autoSpaceDN w:val="0"/>
              <w:adjustRightInd w:val="0"/>
              <w:ind w:firstLine="0" w:firstLineChars="0"/>
              <w:rPr>
                <w:rFonts w:ascii="宋体" w:hAnsi="宋体"/>
                <w:color w:val="000000"/>
                <w:kern w:val="0"/>
                <w:sz w:val="18"/>
                <w:szCs w:val="18"/>
              </w:rPr>
            </w:pPr>
          </w:p>
        </w:tc>
        <w:tc>
          <w:tcPr>
            <w:tcW w:w="2757" w:type="dxa"/>
            <w:vAlign w:val="center"/>
          </w:tcPr>
          <w:p>
            <w:pPr>
              <w:ind w:firstLine="0" w:firstLineChars="0"/>
              <w:jc w:val="center"/>
              <w:rPr>
                <w:rFonts w:ascii="宋体" w:hAnsi="宋体" w:cs="宋体"/>
                <w:kern w:val="1"/>
                <w:sz w:val="18"/>
                <w:szCs w:val="18"/>
              </w:rPr>
            </w:pPr>
            <w:r>
              <w:rPr>
                <w:rFonts w:hint="eastAsia" w:ascii="宋体" w:hAnsi="宋体" w:cs="宋体"/>
                <w:kern w:val="1"/>
                <w:sz w:val="18"/>
                <w:szCs w:val="18"/>
              </w:rPr>
              <w:t>高等数学基础</w:t>
            </w:r>
          </w:p>
        </w:tc>
        <w:tc>
          <w:tcPr>
            <w:tcW w:w="727" w:type="dxa"/>
            <w:vAlign w:val="center"/>
          </w:tcPr>
          <w:p>
            <w:pPr>
              <w:widowControl/>
              <w:ind w:firstLine="0" w:firstLineChars="0"/>
              <w:jc w:val="center"/>
              <w:rPr>
                <w:rFonts w:ascii="宋体" w:hAnsi="宋体"/>
                <w:color w:val="000000"/>
                <w:kern w:val="0"/>
                <w:sz w:val="18"/>
                <w:szCs w:val="18"/>
              </w:rPr>
            </w:pPr>
            <w:r>
              <w:rPr>
                <w:rFonts w:ascii="宋体" w:hAnsi="宋体"/>
                <w:color w:val="000000"/>
                <w:kern w:val="0"/>
                <w:sz w:val="18"/>
                <w:szCs w:val="18"/>
              </w:rPr>
              <w:t>3</w:t>
            </w:r>
          </w:p>
        </w:tc>
        <w:tc>
          <w:tcPr>
            <w:tcW w:w="1018" w:type="dxa"/>
            <w:vAlign w:val="center"/>
          </w:tcPr>
          <w:p>
            <w:pPr>
              <w:ind w:firstLine="0" w:firstLineChars="0"/>
              <w:jc w:val="center"/>
              <w:rPr>
                <w:rFonts w:ascii="宋体" w:hAnsi="宋体"/>
                <w:color w:val="000000"/>
                <w:sz w:val="18"/>
                <w:szCs w:val="18"/>
              </w:rPr>
            </w:pPr>
            <w:r>
              <w:rPr>
                <w:rFonts w:ascii="宋体" w:hAnsi="宋体"/>
                <w:color w:val="000000"/>
                <w:sz w:val="18"/>
                <w:szCs w:val="18"/>
              </w:rPr>
              <w:t>1</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侯新昌</w:t>
            </w:r>
          </w:p>
        </w:tc>
        <w:tc>
          <w:tcPr>
            <w:tcW w:w="1026" w:type="dxa"/>
            <w:vMerge w:val="continue"/>
            <w:vAlign w:val="center"/>
          </w:tcPr>
          <w:p>
            <w:pPr>
              <w:ind w:firstLine="0" w:firstLineChars="0"/>
              <w:jc w:val="center"/>
              <w:rPr>
                <w:rFonts w:ascii="宋体" w:hAnsi="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widowControl/>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工程制图基础</w:t>
            </w:r>
          </w:p>
        </w:tc>
        <w:tc>
          <w:tcPr>
            <w:tcW w:w="727" w:type="dxa"/>
            <w:vAlign w:val="center"/>
          </w:tcPr>
          <w:p>
            <w:pPr>
              <w:widowControl/>
              <w:snapToGrid w:val="0"/>
              <w:ind w:firstLine="0" w:firstLineChars="0"/>
              <w:jc w:val="center"/>
              <w:rPr>
                <w:rFonts w:ascii="宋体" w:hAnsi="宋体"/>
                <w:color w:val="000000"/>
                <w:kern w:val="0"/>
                <w:sz w:val="18"/>
                <w:szCs w:val="18"/>
              </w:rPr>
            </w:pPr>
            <w:r>
              <w:rPr>
                <w:rFonts w:ascii="宋体" w:hAnsi="宋体"/>
                <w:color w:val="000000"/>
                <w:kern w:val="0"/>
                <w:sz w:val="18"/>
                <w:szCs w:val="18"/>
              </w:rPr>
              <w:t>3</w:t>
            </w:r>
          </w:p>
        </w:tc>
        <w:tc>
          <w:tcPr>
            <w:tcW w:w="1018" w:type="dxa"/>
            <w:vAlign w:val="center"/>
          </w:tcPr>
          <w:p>
            <w:pPr>
              <w:ind w:firstLine="0" w:firstLineChars="0"/>
              <w:jc w:val="center"/>
              <w:rPr>
                <w:rFonts w:ascii="宋体" w:hAnsi="宋体"/>
                <w:color w:val="000000"/>
                <w:sz w:val="18"/>
                <w:szCs w:val="18"/>
              </w:rPr>
            </w:pPr>
            <w:r>
              <w:rPr>
                <w:rFonts w:ascii="宋体" w:hAnsi="宋体"/>
                <w:color w:val="000000"/>
                <w:sz w:val="18"/>
                <w:szCs w:val="18"/>
              </w:rPr>
              <w:t>1</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严</w:t>
            </w:r>
            <w:r>
              <w:rPr>
                <w:rFonts w:ascii="宋体" w:hAnsi="宋体" w:cs="宋体"/>
                <w:color w:val="000000"/>
                <w:kern w:val="1"/>
                <w:sz w:val="18"/>
                <w:szCs w:val="18"/>
              </w:rPr>
              <w:t>峥嵘</w:t>
            </w:r>
          </w:p>
        </w:tc>
        <w:tc>
          <w:tcPr>
            <w:tcW w:w="1026" w:type="dxa"/>
            <w:vMerge w:val="continue"/>
            <w:vAlign w:val="center"/>
          </w:tcPr>
          <w:p>
            <w:pPr>
              <w:ind w:firstLine="0" w:firstLineChars="0"/>
              <w:jc w:val="center"/>
              <w:rPr>
                <w:rFonts w:ascii="宋体" w:hAnsi="宋体" w:cs="汉鼎简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widowControl/>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计算机文化基础</w:t>
            </w:r>
          </w:p>
        </w:tc>
        <w:tc>
          <w:tcPr>
            <w:tcW w:w="727" w:type="dxa"/>
            <w:vAlign w:val="center"/>
          </w:tcPr>
          <w:p>
            <w:pPr>
              <w:widowControl/>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1</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沿用</w:t>
            </w:r>
          </w:p>
        </w:tc>
        <w:tc>
          <w:tcPr>
            <w:tcW w:w="978"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沿用</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杨彩霖</w:t>
            </w:r>
          </w:p>
        </w:tc>
        <w:tc>
          <w:tcPr>
            <w:tcW w:w="1026" w:type="dxa"/>
            <w:vMerge w:val="restart"/>
            <w:vAlign w:val="center"/>
          </w:tcPr>
          <w:p>
            <w:pPr>
              <w:ind w:firstLine="0" w:firstLineChars="0"/>
              <w:jc w:val="center"/>
              <w:rPr>
                <w:rFonts w:ascii="宋体" w:hAnsi="宋体" w:cs="汉鼎简仿宋"/>
                <w:color w:val="000000"/>
                <w:kern w:val="0"/>
                <w:sz w:val="21"/>
                <w:szCs w:val="21"/>
              </w:rPr>
            </w:pPr>
            <w:r>
              <w:rPr>
                <w:rFonts w:hint="eastAsia" w:ascii="宋体" w:hAnsi="宋体"/>
                <w:color w:val="000000"/>
                <w:kern w:val="0"/>
                <w:sz w:val="21"/>
                <w:szCs w:val="21"/>
              </w:rPr>
              <w:t>非</w:t>
            </w:r>
            <w:r>
              <w:rPr>
                <w:rFonts w:ascii="宋体" w:hAnsi="宋体"/>
                <w:color w:val="000000"/>
                <w:kern w:val="0"/>
                <w:sz w:val="21"/>
                <w:szCs w:val="21"/>
              </w:rPr>
              <w:t>统</w:t>
            </w:r>
            <w:r>
              <w:rPr>
                <w:rFonts w:hint="eastAsia" w:ascii="宋体" w:hAnsi="宋体"/>
                <w:color w:val="000000"/>
                <w:kern w:val="0"/>
                <w:sz w:val="21"/>
                <w:szCs w:val="21"/>
              </w:rPr>
              <w:t>设</w:t>
            </w:r>
            <w:r>
              <w:rPr>
                <w:rFonts w:ascii="宋体" w:hAnsi="宋体"/>
                <w:color w:val="000000"/>
                <w:kern w:val="0"/>
                <w:sz w:val="21"/>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widowControl/>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工程项目管理</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新</w:t>
            </w:r>
            <w:r>
              <w:rPr>
                <w:rFonts w:ascii="宋体" w:hAnsi="宋体"/>
                <w:color w:val="000000"/>
                <w:kern w:val="0"/>
                <w:sz w:val="18"/>
                <w:szCs w:val="18"/>
              </w:rPr>
              <w:t>建</w:t>
            </w:r>
          </w:p>
        </w:tc>
        <w:tc>
          <w:tcPr>
            <w:tcW w:w="978" w:type="dxa"/>
            <w:vAlign w:val="center"/>
          </w:tcPr>
          <w:p>
            <w:pPr>
              <w:autoSpaceDE w:val="0"/>
              <w:autoSpaceDN w:val="0"/>
              <w:adjustRightInd w:val="0"/>
              <w:ind w:firstLine="0" w:firstLineChars="0"/>
              <w:jc w:val="center"/>
              <w:rPr>
                <w:rFonts w:ascii="宋体" w:hAnsi="宋体"/>
                <w:color w:val="000000"/>
                <w:kern w:val="0"/>
                <w:sz w:val="18"/>
                <w:szCs w:val="18"/>
              </w:rPr>
            </w:pPr>
            <w:r>
              <w:rPr>
                <w:rFonts w:hint="eastAsia" w:ascii="宋体" w:hAnsi="宋体"/>
                <w:color w:val="000000"/>
                <w:kern w:val="0"/>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赵祥</w:t>
            </w:r>
          </w:p>
        </w:tc>
        <w:tc>
          <w:tcPr>
            <w:tcW w:w="1026" w:type="dxa"/>
            <w:vMerge w:val="continue"/>
            <w:vAlign w:val="center"/>
          </w:tcPr>
          <w:p>
            <w:pPr>
              <w:ind w:firstLine="0" w:firstLineChars="0"/>
              <w:jc w:val="center"/>
              <w:rPr>
                <w:rFonts w:ascii="汉鼎简仿宋" w:hAnsi="宋体" w:eastAsia="汉鼎简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工业通风及除尘</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马乐为</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流体力学与热工学基础</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王青</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安全管理文书写作</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1</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李</w:t>
            </w:r>
            <w:r>
              <w:rPr>
                <w:rFonts w:ascii="宋体" w:hAnsi="宋体" w:cs="宋体"/>
                <w:color w:val="000000"/>
                <w:kern w:val="1"/>
                <w:sz w:val="18"/>
                <w:szCs w:val="18"/>
              </w:rPr>
              <w:t>凯</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信息管理系统</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史永哲</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安全评价</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张振宇</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防火防爆技术</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刘健康</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安全监测与监控</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吕振</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安全法规</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曹婷帅</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高危行业安全</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2</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吕振</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工业通风除尘课程设计</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马乐为</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防火防爆课程设计</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刘健康</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安全评价课程设计</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张振宇</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职业危害因素分析评价</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吕振</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消防安全</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马乐为</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建筑施工安全</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4</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曹婷帅</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numPr>
                <w:ilvl w:val="0"/>
                <w:numId w:val="7"/>
              </w:numPr>
              <w:autoSpaceDE w:val="0"/>
              <w:autoSpaceDN w:val="0"/>
              <w:adjustRightInd w:val="0"/>
              <w:spacing w:line="240" w:lineRule="auto"/>
              <w:ind w:firstLineChars="0"/>
              <w:rPr>
                <w:rFonts w:eastAsia="汉鼎简仿宋"/>
                <w:color w:val="000000"/>
                <w:kern w:val="0"/>
              </w:rPr>
            </w:pPr>
          </w:p>
        </w:tc>
        <w:tc>
          <w:tcPr>
            <w:tcW w:w="791" w:type="dxa"/>
            <w:vMerge w:val="continue"/>
            <w:vAlign w:val="center"/>
          </w:tcPr>
          <w:p>
            <w:pPr>
              <w:ind w:firstLine="0" w:firstLineChars="0"/>
              <w:jc w:val="left"/>
              <w:rPr>
                <w:rFonts w:ascii="宋体" w:hAnsi="宋体"/>
                <w:color w:val="000000"/>
                <w:kern w:val="0"/>
                <w:position w:val="-2"/>
                <w:sz w:val="18"/>
                <w:szCs w:val="18"/>
              </w:rPr>
            </w:pPr>
          </w:p>
        </w:tc>
        <w:tc>
          <w:tcPr>
            <w:tcW w:w="724" w:type="dxa"/>
            <w:vMerge w:val="continue"/>
            <w:vAlign w:val="center"/>
          </w:tcPr>
          <w:p>
            <w:pPr>
              <w:ind w:firstLine="0" w:firstLineChars="0"/>
              <w:jc w:val="left"/>
              <w:rPr>
                <w:rFonts w:ascii="宋体" w:hAnsi="宋体"/>
                <w:color w:val="000000"/>
                <w:kern w:val="0"/>
                <w:sz w:val="18"/>
                <w:szCs w:val="18"/>
              </w:rPr>
            </w:pPr>
          </w:p>
        </w:tc>
        <w:tc>
          <w:tcPr>
            <w:tcW w:w="2757"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安全工程师培训课程</w:t>
            </w:r>
          </w:p>
        </w:tc>
        <w:tc>
          <w:tcPr>
            <w:tcW w:w="727"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3</w:t>
            </w:r>
          </w:p>
        </w:tc>
        <w:tc>
          <w:tcPr>
            <w:tcW w:w="1018" w:type="dxa"/>
            <w:vAlign w:val="center"/>
          </w:tcPr>
          <w:p>
            <w:pPr>
              <w:ind w:firstLine="0" w:firstLineChars="0"/>
              <w:jc w:val="center"/>
              <w:rPr>
                <w:rFonts w:ascii="宋体" w:hAnsi="宋体"/>
                <w:color w:val="000000"/>
                <w:kern w:val="1"/>
                <w:sz w:val="18"/>
                <w:szCs w:val="18"/>
              </w:rPr>
            </w:pPr>
            <w:r>
              <w:rPr>
                <w:rFonts w:ascii="宋体" w:hAnsi="宋体"/>
                <w:color w:val="000000"/>
                <w:kern w:val="1"/>
                <w:sz w:val="18"/>
                <w:szCs w:val="18"/>
              </w:rPr>
              <w:t>5</w:t>
            </w:r>
          </w:p>
        </w:tc>
        <w:tc>
          <w:tcPr>
            <w:tcW w:w="869" w:type="dxa"/>
            <w:vAlign w:val="center"/>
          </w:tcPr>
          <w:p>
            <w:pPr>
              <w:autoSpaceDE w:val="0"/>
              <w:autoSpaceDN w:val="0"/>
              <w:adjustRightInd w:val="0"/>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新建</w:t>
            </w:r>
          </w:p>
        </w:tc>
        <w:tc>
          <w:tcPr>
            <w:tcW w:w="978" w:type="dxa"/>
            <w:vAlign w:val="center"/>
          </w:tcPr>
          <w:p>
            <w:pPr>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新试卷</w:t>
            </w:r>
          </w:p>
        </w:tc>
        <w:tc>
          <w:tcPr>
            <w:tcW w:w="1390" w:type="dxa"/>
            <w:vAlign w:val="center"/>
          </w:tcPr>
          <w:p>
            <w:pPr>
              <w:widowControl/>
              <w:ind w:firstLine="0" w:firstLineChars="0"/>
              <w:jc w:val="center"/>
              <w:rPr>
                <w:rFonts w:ascii="宋体" w:hAnsi="宋体" w:cs="宋体"/>
                <w:color w:val="000000"/>
                <w:kern w:val="1"/>
                <w:sz w:val="18"/>
                <w:szCs w:val="18"/>
              </w:rPr>
            </w:pPr>
            <w:r>
              <w:rPr>
                <w:rFonts w:hint="eastAsia" w:ascii="宋体" w:hAnsi="宋体" w:cs="宋体"/>
                <w:color w:val="000000"/>
                <w:kern w:val="1"/>
                <w:sz w:val="18"/>
                <w:szCs w:val="18"/>
              </w:rPr>
              <w:t>崔晓红</w:t>
            </w:r>
          </w:p>
        </w:tc>
        <w:tc>
          <w:tcPr>
            <w:tcW w:w="1026" w:type="dxa"/>
            <w:vMerge w:val="continue"/>
          </w:tcPr>
          <w:p>
            <w:pPr>
              <w:widowControl/>
              <w:ind w:firstLine="0" w:firstLineChars="0"/>
              <w:rPr>
                <w:rFonts w:ascii="汉鼎简仿宋" w:hAnsi="宋体" w:eastAsia="汉鼎简仿宋" w:cs="汉鼎简仿宋"/>
                <w:color w:val="000000"/>
                <w:kern w:val="0"/>
                <w:sz w:val="21"/>
              </w:rPr>
            </w:pPr>
          </w:p>
        </w:tc>
      </w:tr>
    </w:tbl>
    <w:p>
      <w:pPr>
        <w:spacing w:line="240" w:lineRule="auto"/>
        <w:ind w:firstLine="0" w:firstLineChars="0"/>
        <w:rPr>
          <w:color w:val="000000"/>
          <w:sz w:val="21"/>
        </w:rPr>
      </w:pPr>
    </w:p>
    <w:p>
      <w:pPr>
        <w:spacing w:line="240" w:lineRule="auto"/>
        <w:ind w:firstLine="0" w:firstLineChars="0"/>
        <w:rPr>
          <w:color w:val="000000"/>
          <w:sz w:val="21"/>
        </w:rPr>
      </w:pPr>
    </w:p>
    <w:p>
      <w:pPr>
        <w:spacing w:line="240" w:lineRule="auto"/>
        <w:ind w:firstLine="0" w:firstLineChars="0"/>
        <w:rPr>
          <w:color w:val="000000"/>
          <w:sz w:val="21"/>
        </w:rPr>
      </w:pPr>
    </w:p>
    <w:p>
      <w:pPr>
        <w:spacing w:line="240" w:lineRule="auto"/>
        <w:ind w:firstLine="0" w:firstLineChars="0"/>
        <w:rPr>
          <w:color w:val="000000"/>
          <w:sz w:val="21"/>
        </w:rPr>
      </w:pPr>
    </w:p>
    <w:p>
      <w:pPr>
        <w:spacing w:line="240" w:lineRule="auto"/>
        <w:ind w:firstLine="0" w:firstLineChars="0"/>
        <w:rPr>
          <w:color w:val="000000"/>
          <w:sz w:val="21"/>
        </w:rPr>
      </w:pPr>
    </w:p>
    <w:p>
      <w:pPr>
        <w:spacing w:line="240" w:lineRule="auto"/>
        <w:ind w:firstLine="0" w:firstLineChars="0"/>
        <w:rPr>
          <w:color w:val="000000"/>
          <w:sz w:val="21"/>
        </w:rPr>
      </w:pPr>
    </w:p>
    <w:p>
      <w:pPr>
        <w:spacing w:line="240" w:lineRule="auto"/>
        <w:ind w:firstLine="0" w:firstLineChars="0"/>
        <w:rPr>
          <w:color w:val="000000"/>
          <w:sz w:val="21"/>
        </w:rPr>
      </w:pPr>
    </w:p>
    <w:p>
      <w:pPr>
        <w:ind w:firstLine="0" w:firstLineChars="0"/>
        <w:rPr>
          <w:rFonts w:ascii="宋体" w:hAnsi="宋体"/>
          <w:sz w:val="21"/>
          <w:szCs w:val="21"/>
        </w:rPr>
      </w:pPr>
    </w:p>
    <w:sectPr>
      <w:footerReference r:id="rId12" w:type="default"/>
      <w:pgSz w:w="11906" w:h="16838"/>
      <w:pgMar w:top="1418" w:right="1134" w:bottom="1134" w:left="1588" w:header="851" w:footer="680"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楷体简体">
    <w:altName w:val="宋体"/>
    <w:panose1 w:val="02010601030101010101"/>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鼎简仿宋">
    <w:altName w:val="仿宋"/>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hint="eastAsia" w:eastAsia="宋体"/>
        <w:lang w:val="en-US" w:eastAsia="zh-CN"/>
      </w:rPr>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v:textbox>
        </v:shape>
      </w:pic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39</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D3B4C"/>
    <w:multiLevelType w:val="multilevel"/>
    <w:tmpl w:val="083D3B4C"/>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1E28D4"/>
    <w:multiLevelType w:val="multilevel"/>
    <w:tmpl w:val="291E28D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716171"/>
    <w:multiLevelType w:val="multilevel"/>
    <w:tmpl w:val="4F716171"/>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532D326C"/>
    <w:multiLevelType w:val="multilevel"/>
    <w:tmpl w:val="532D326C"/>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4E33F0"/>
    <w:multiLevelType w:val="multilevel"/>
    <w:tmpl w:val="564E33F0"/>
    <w:lvl w:ilvl="0" w:tentative="0">
      <w:start w:val="1"/>
      <w:numFmt w:val="decimal"/>
      <w:lvlText w:val="  %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EC626A"/>
    <w:multiLevelType w:val="multilevel"/>
    <w:tmpl w:val="69EC626A"/>
    <w:lvl w:ilvl="0" w:tentative="0">
      <w:start w:val="1"/>
      <w:numFmt w:val="decimal"/>
      <w:suff w:val="space"/>
      <w:lvlText w:val="%1."/>
      <w:lvlJc w:val="left"/>
      <w:pPr>
        <w:ind w:left="922" w:hanging="360"/>
      </w:pPr>
      <w:rPr>
        <w:rFonts w:hint="default" w:ascii="Times New Roman" w:hAnsi="Times New Roman" w:cs="Times New Roman"/>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7D4926AB"/>
    <w:multiLevelType w:val="multilevel"/>
    <w:tmpl w:val="7D4926AB"/>
    <w:lvl w:ilvl="0" w:tentative="0">
      <w:start w:val="1"/>
      <w:numFmt w:val="decimal"/>
      <w:lvlText w:val="  %1"/>
      <w:lvlJc w:val="left"/>
      <w:pPr>
        <w:ind w:left="420" w:hanging="420"/>
      </w:pPr>
      <w:rPr>
        <w:rFonts w:hint="eastAsia"/>
        <w:sz w:val="21"/>
        <w:szCs w:val="21"/>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533E"/>
    <w:rsid w:val="00033E64"/>
    <w:rsid w:val="0012271D"/>
    <w:rsid w:val="001E533E"/>
    <w:rsid w:val="003061AA"/>
    <w:rsid w:val="00330B9B"/>
    <w:rsid w:val="00341BF0"/>
    <w:rsid w:val="0034482B"/>
    <w:rsid w:val="005C1C46"/>
    <w:rsid w:val="00616E50"/>
    <w:rsid w:val="00666091"/>
    <w:rsid w:val="00697498"/>
    <w:rsid w:val="007803B9"/>
    <w:rsid w:val="007A522C"/>
    <w:rsid w:val="007D2A96"/>
    <w:rsid w:val="009117DC"/>
    <w:rsid w:val="009B6C0F"/>
    <w:rsid w:val="009D7AEF"/>
    <w:rsid w:val="00A40783"/>
    <w:rsid w:val="00CC53AC"/>
    <w:rsid w:val="00CD19B0"/>
    <w:rsid w:val="00ED1CFA"/>
    <w:rsid w:val="1D623751"/>
    <w:rsid w:val="206A23EA"/>
    <w:rsid w:val="29A50A3D"/>
    <w:rsid w:val="35541C04"/>
    <w:rsid w:val="39CF4D9F"/>
    <w:rsid w:val="3B681B11"/>
    <w:rsid w:val="3DC023DA"/>
    <w:rsid w:val="4C05466C"/>
    <w:rsid w:val="4C657407"/>
    <w:rsid w:val="74424C6C"/>
    <w:rsid w:val="7E0F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4"/>
    <w:qFormat/>
    <w:uiPriority w:val="0"/>
    <w:pPr>
      <w:keepNext/>
      <w:keepLines/>
      <w:spacing w:beforeLines="100" w:afterLines="100"/>
      <w:jc w:val="left"/>
      <w:outlineLvl w:val="0"/>
    </w:pPr>
    <w:rPr>
      <w:b/>
      <w:bCs/>
      <w:kern w:val="44"/>
      <w:szCs w:val="44"/>
    </w:rPr>
  </w:style>
  <w:style w:type="paragraph" w:styleId="3">
    <w:name w:val="heading 3"/>
    <w:basedOn w:val="1"/>
    <w:next w:val="1"/>
    <w:link w:val="42"/>
    <w:qFormat/>
    <w:uiPriority w:val="0"/>
    <w:pPr>
      <w:widowControl/>
      <w:spacing w:before="206" w:after="206" w:line="240" w:lineRule="atLeast"/>
      <w:jc w:val="left"/>
      <w:outlineLvl w:val="2"/>
    </w:pPr>
    <w:rPr>
      <w:rFonts w:ascii="宋体" w:hAnsi="宋体" w:cs="宋体"/>
      <w:b/>
      <w:bCs/>
      <w:kern w:val="0"/>
      <w:sz w:val="45"/>
      <w:szCs w:val="45"/>
    </w:rPr>
  </w:style>
  <w:style w:type="character" w:default="1" w:styleId="18">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annotation text"/>
    <w:basedOn w:val="1"/>
    <w:link w:val="35"/>
    <w:unhideWhenUsed/>
    <w:qFormat/>
    <w:uiPriority w:val="99"/>
    <w:pPr>
      <w:jc w:val="left"/>
    </w:pPr>
  </w:style>
  <w:style w:type="paragraph" w:styleId="5">
    <w:name w:val="Plain Text"/>
    <w:basedOn w:val="1"/>
    <w:link w:val="28"/>
    <w:qFormat/>
    <w:uiPriority w:val="0"/>
    <w:rPr>
      <w:rFonts w:ascii="宋体" w:hAnsi="Courier New" w:cs="Courier New"/>
      <w:szCs w:val="21"/>
    </w:rPr>
  </w:style>
  <w:style w:type="paragraph" w:styleId="6">
    <w:name w:val="Balloon Text"/>
    <w:basedOn w:val="1"/>
    <w:link w:val="32"/>
    <w:unhideWhenUsed/>
    <w:uiPriority w:val="0"/>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174"/>
      </w:tabs>
      <w:ind w:firstLine="0" w:firstLineChars="0"/>
      <w:jc w:val="distribute"/>
    </w:pPr>
  </w:style>
  <w:style w:type="paragraph" w:styleId="10">
    <w:name w:val="Subtitle"/>
    <w:basedOn w:val="1"/>
    <w:next w:val="1"/>
    <w:link w:val="39"/>
    <w:qFormat/>
    <w:uiPriority w:val="0"/>
    <w:pPr>
      <w:spacing w:before="240" w:after="60" w:line="312" w:lineRule="auto"/>
      <w:jc w:val="left"/>
      <w:outlineLvl w:val="1"/>
    </w:pPr>
    <w:rPr>
      <w:rFonts w:asciiTheme="majorHAnsi" w:hAnsiTheme="majorHAnsi" w:cstheme="majorBidi"/>
      <w:b/>
      <w:bCs/>
      <w:kern w:val="28"/>
      <w:szCs w:val="32"/>
    </w:rPr>
  </w:style>
  <w:style w:type="paragraph" w:styleId="11">
    <w:name w:val="Body Text Indent 3"/>
    <w:basedOn w:val="1"/>
    <w:link w:val="27"/>
    <w:qFormat/>
    <w:uiPriority w:val="0"/>
    <w:pPr>
      <w:spacing w:after="120"/>
      <w:ind w:left="420" w:leftChars="200"/>
    </w:pPr>
    <w:rPr>
      <w:rFonts w:asciiTheme="minorHAnsi" w:hAnsiTheme="minorHAnsi" w:cstheme="minorBidi"/>
      <w:sz w:val="16"/>
      <w:szCs w:val="16"/>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rPr>
  </w:style>
  <w:style w:type="paragraph" w:styleId="14">
    <w:name w:val="Title"/>
    <w:basedOn w:val="1"/>
    <w:next w:val="1"/>
    <w:link w:val="37"/>
    <w:qFormat/>
    <w:uiPriority w:val="0"/>
    <w:pPr>
      <w:spacing w:before="240" w:after="60"/>
      <w:jc w:val="left"/>
      <w:outlineLvl w:val="0"/>
    </w:pPr>
    <w:rPr>
      <w:rFonts w:eastAsia="黑体" w:asciiTheme="majorHAnsi" w:hAnsiTheme="majorHAnsi" w:cstheme="majorBidi"/>
      <w:b/>
      <w:bCs/>
      <w:sz w:val="32"/>
      <w:szCs w:val="32"/>
    </w:rPr>
  </w:style>
  <w:style w:type="paragraph" w:styleId="15">
    <w:name w:val="annotation subject"/>
    <w:basedOn w:val="4"/>
    <w:next w:val="4"/>
    <w:link w:val="36"/>
    <w:unhideWhenUsed/>
    <w:qFormat/>
    <w:uiPriority w:val="0"/>
    <w:rPr>
      <w:b/>
      <w:bCs/>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rPr>
  </w:style>
  <w:style w:type="character" w:styleId="21">
    <w:name w:val="annotation reference"/>
    <w:basedOn w:val="18"/>
    <w:unhideWhenUsed/>
    <w:qFormat/>
    <w:uiPriority w:val="99"/>
    <w:rPr>
      <w:sz w:val="21"/>
      <w:szCs w:val="21"/>
    </w:rPr>
  </w:style>
  <w:style w:type="character" w:customStyle="1" w:styleId="22">
    <w:name w:val="页眉 Char"/>
    <w:basedOn w:val="18"/>
    <w:link w:val="8"/>
    <w:qFormat/>
    <w:uiPriority w:val="0"/>
    <w:rPr>
      <w:sz w:val="18"/>
      <w:szCs w:val="18"/>
    </w:rPr>
  </w:style>
  <w:style w:type="character" w:customStyle="1" w:styleId="23">
    <w:name w:val="页脚 Char"/>
    <w:basedOn w:val="18"/>
    <w:link w:val="7"/>
    <w:qFormat/>
    <w:uiPriority w:val="99"/>
    <w:rPr>
      <w:sz w:val="18"/>
      <w:szCs w:val="18"/>
    </w:rPr>
  </w:style>
  <w:style w:type="character" w:customStyle="1" w:styleId="24">
    <w:name w:val="标题 1 Char"/>
    <w:basedOn w:val="18"/>
    <w:link w:val="2"/>
    <w:qFormat/>
    <w:uiPriority w:val="0"/>
    <w:rPr>
      <w:rFonts w:ascii="Times New Roman" w:hAnsi="Times New Roman" w:eastAsia="宋体" w:cs="Times New Roman"/>
      <w:b/>
      <w:bCs/>
      <w:kern w:val="44"/>
      <w:sz w:val="24"/>
      <w:szCs w:val="44"/>
    </w:rPr>
  </w:style>
  <w:style w:type="character" w:customStyle="1" w:styleId="25">
    <w:name w:val="med"/>
    <w:basedOn w:val="18"/>
    <w:qFormat/>
    <w:uiPriority w:val="0"/>
  </w:style>
  <w:style w:type="character" w:customStyle="1" w:styleId="26">
    <w:name w:val="正文文本缩进 3 Char"/>
    <w:link w:val="11"/>
    <w:qFormat/>
    <w:uiPriority w:val="0"/>
    <w:rPr>
      <w:rFonts w:eastAsia="宋体"/>
      <w:sz w:val="16"/>
      <w:szCs w:val="16"/>
    </w:rPr>
  </w:style>
  <w:style w:type="character" w:customStyle="1" w:styleId="27">
    <w:name w:val="正文文本缩进 3 Char1"/>
    <w:basedOn w:val="18"/>
    <w:link w:val="11"/>
    <w:semiHidden/>
    <w:qFormat/>
    <w:uiPriority w:val="99"/>
    <w:rPr>
      <w:rFonts w:ascii="Times New Roman" w:hAnsi="Times New Roman" w:eastAsia="宋体" w:cs="Times New Roman"/>
      <w:sz w:val="16"/>
      <w:szCs w:val="16"/>
    </w:rPr>
  </w:style>
  <w:style w:type="character" w:customStyle="1" w:styleId="28">
    <w:name w:val="纯文本 Char"/>
    <w:basedOn w:val="18"/>
    <w:link w:val="5"/>
    <w:qFormat/>
    <w:uiPriority w:val="0"/>
    <w:rPr>
      <w:rFonts w:ascii="宋体" w:hAnsi="Courier New" w:eastAsia="宋体" w:cs="Courier New"/>
      <w:sz w:val="24"/>
      <w:szCs w:val="21"/>
    </w:rPr>
  </w:style>
  <w:style w:type="paragraph" w:customStyle="1" w:styleId="29">
    <w:name w:val="p0"/>
    <w:basedOn w:val="1"/>
    <w:qFormat/>
    <w:uiPriority w:val="99"/>
    <w:pPr>
      <w:widowControl/>
    </w:pPr>
    <w:rPr>
      <w:rFonts w:ascii="Calibri" w:hAnsi="Calibri"/>
      <w:szCs w:val="22"/>
    </w:rPr>
  </w:style>
  <w:style w:type="paragraph" w:customStyle="1" w:styleId="30">
    <w:name w:val="List Paragraph1"/>
    <w:basedOn w:val="1"/>
    <w:qFormat/>
    <w:uiPriority w:val="99"/>
    <w:pPr>
      <w:ind w:firstLine="420"/>
    </w:pPr>
    <w:rPr>
      <w:rFonts w:ascii="Calibri" w:hAnsi="Calibri"/>
      <w:szCs w:val="22"/>
    </w:rPr>
  </w:style>
  <w:style w:type="paragraph" w:customStyle="1" w:styleId="31">
    <w:name w:val="List Paragraph"/>
    <w:basedOn w:val="1"/>
    <w:qFormat/>
    <w:uiPriority w:val="34"/>
    <w:pPr>
      <w:ind w:firstLine="420"/>
    </w:pPr>
  </w:style>
  <w:style w:type="character" w:customStyle="1" w:styleId="32">
    <w:name w:val="批注框文本 Char"/>
    <w:basedOn w:val="18"/>
    <w:link w:val="6"/>
    <w:qFormat/>
    <w:uiPriority w:val="0"/>
    <w:rPr>
      <w:rFonts w:ascii="Times New Roman" w:hAnsi="Times New Roman" w:eastAsia="宋体" w:cs="Times New Roman"/>
      <w:sz w:val="18"/>
      <w:szCs w:val="18"/>
    </w:rPr>
  </w:style>
  <w:style w:type="character" w:customStyle="1" w:styleId="33">
    <w:name w:val="Placeholder Text"/>
    <w:basedOn w:val="18"/>
    <w:semiHidden/>
    <w:qFormat/>
    <w:uiPriority w:val="99"/>
    <w:rPr>
      <w:color w:val="808080"/>
    </w:rPr>
  </w:style>
  <w:style w:type="paragraph" w:customStyle="1" w:styleId="34">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basedOn w:val="18"/>
    <w:link w:val="4"/>
    <w:qFormat/>
    <w:uiPriority w:val="99"/>
    <w:rPr>
      <w:rFonts w:ascii="Times New Roman" w:hAnsi="Times New Roman" w:eastAsia="宋体" w:cs="Times New Roman"/>
      <w:sz w:val="24"/>
      <w:szCs w:val="24"/>
    </w:rPr>
  </w:style>
  <w:style w:type="character" w:customStyle="1" w:styleId="36">
    <w:name w:val="批注主题 Char"/>
    <w:basedOn w:val="35"/>
    <w:link w:val="15"/>
    <w:semiHidden/>
    <w:qFormat/>
    <w:uiPriority w:val="0"/>
    <w:rPr>
      <w:b/>
      <w:bCs/>
    </w:rPr>
  </w:style>
  <w:style w:type="character" w:customStyle="1" w:styleId="37">
    <w:name w:val="标题 Char"/>
    <w:basedOn w:val="18"/>
    <w:link w:val="14"/>
    <w:qFormat/>
    <w:uiPriority w:val="0"/>
    <w:rPr>
      <w:rFonts w:eastAsia="黑体" w:asciiTheme="majorHAnsi" w:hAnsiTheme="majorHAnsi" w:cstheme="majorBidi"/>
      <w:b/>
      <w:bCs/>
      <w:sz w:val="32"/>
      <w:szCs w:val="32"/>
    </w:rPr>
  </w:style>
  <w:style w:type="paragraph" w:customStyle="1" w:styleId="38">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9">
    <w:name w:val="副标题 Char"/>
    <w:basedOn w:val="18"/>
    <w:link w:val="10"/>
    <w:qFormat/>
    <w:uiPriority w:val="0"/>
    <w:rPr>
      <w:rFonts w:eastAsia="宋体" w:asciiTheme="majorHAnsi" w:hAnsiTheme="majorHAnsi" w:cstheme="majorBidi"/>
      <w:b/>
      <w:bCs/>
      <w:kern w:val="28"/>
      <w:sz w:val="24"/>
      <w:szCs w:val="32"/>
    </w:rPr>
  </w:style>
  <w:style w:type="paragraph" w:customStyle="1" w:styleId="40">
    <w:name w:val="图片"/>
    <w:basedOn w:val="1"/>
    <w:qFormat/>
    <w:uiPriority w:val="0"/>
    <w:pPr>
      <w:spacing w:line="240" w:lineRule="auto"/>
      <w:ind w:firstLine="0" w:firstLineChars="0"/>
      <w:jc w:val="center"/>
    </w:pPr>
    <w:rPr>
      <w:rFonts w:ascii="方正楷体简体" w:eastAsia="方正书宋简体"/>
      <w:sz w:val="21"/>
      <w:szCs w:val="18"/>
    </w:rPr>
  </w:style>
  <w:style w:type="paragraph" w:customStyle="1" w:styleId="41">
    <w:name w:val="列出段落1"/>
    <w:basedOn w:val="1"/>
    <w:qFormat/>
    <w:uiPriority w:val="34"/>
    <w:pPr>
      <w:spacing w:line="240" w:lineRule="auto"/>
      <w:ind w:firstLine="420"/>
    </w:pPr>
    <w:rPr>
      <w:rFonts w:asciiTheme="minorHAnsi" w:hAnsiTheme="minorHAnsi" w:eastAsiaTheme="minorEastAsia" w:cstheme="minorBidi"/>
      <w:sz w:val="21"/>
      <w:szCs w:val="22"/>
    </w:rPr>
  </w:style>
  <w:style w:type="character" w:customStyle="1" w:styleId="42">
    <w:name w:val="标题 3 Char"/>
    <w:basedOn w:val="18"/>
    <w:link w:val="3"/>
    <w:qFormat/>
    <w:uiPriority w:val="0"/>
    <w:rPr>
      <w:rFonts w:ascii="宋体" w:hAnsi="宋体" w:eastAsia="宋体" w:cs="宋体"/>
      <w:b/>
      <w:bCs/>
      <w:kern w:val="0"/>
      <w:sz w:val="45"/>
      <w:szCs w:val="4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Info spid="_x0000_s3078" textRotate="1"/>
    <customShpInfo spid="_x0000_s3079" textRotate="1"/>
    <customShpInfo spid="_x0000_s206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7138</Words>
  <Characters>40687</Characters>
  <Lines>339</Lines>
  <Paragraphs>95</Paragraphs>
  <TotalTime>0</TotalTime>
  <ScaleCrop>false</ScaleCrop>
  <LinksUpToDate>false</LinksUpToDate>
  <CharactersWithSpaces>47730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2016-07-20T07:08:00Z</dcterms:created>
  <dc:creator>6NHYQ42</dc:creator>
  <cp:lastModifiedBy>小岛元太</cp:lastModifiedBy>
  <cp:lastPrinted>2016-07-21T04:31:00Z</cp:lastPrinted>
  <dcterms:modified xsi:type="dcterms:W3CDTF">2021-11-10T01:41:09Z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C9D21A54280D4A239220C71EDA51C541</vt:lpwstr>
  </property>
</Properties>
</file>